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AD163" w14:textId="77777777" w:rsidR="009A1CBB" w:rsidRDefault="008A7D38" w:rsidP="008A7D38">
      <w:pPr>
        <w:spacing w:after="0" w:line="240" w:lineRule="auto"/>
        <w:jc w:val="center"/>
        <w:rPr>
          <w:rFonts w:ascii="Bookman Old Style" w:hAnsi="Bookman Old Style"/>
          <w:b/>
          <w:sz w:val="32"/>
          <w:szCs w:val="32"/>
        </w:rPr>
      </w:pPr>
      <w:r w:rsidRPr="00746F55">
        <w:rPr>
          <w:rFonts w:ascii="Bookman Old Style" w:hAnsi="Bookman Old Style"/>
          <w:b/>
          <w:sz w:val="32"/>
          <w:szCs w:val="32"/>
        </w:rPr>
        <w:t>MINISTERIO PARA LA TRANSICIÓN ECOLÓGICA</w:t>
      </w:r>
    </w:p>
    <w:p w14:paraId="7E0AFAD4" w14:textId="77777777" w:rsidR="009A1CBB" w:rsidRDefault="008A7D38" w:rsidP="008A7D38">
      <w:pPr>
        <w:spacing w:after="0" w:line="240" w:lineRule="auto"/>
        <w:jc w:val="center"/>
        <w:rPr>
          <w:rFonts w:ascii="Bookman Old Style" w:hAnsi="Bookman Old Style"/>
          <w:b/>
          <w:sz w:val="32"/>
          <w:szCs w:val="32"/>
        </w:rPr>
      </w:pPr>
      <w:r w:rsidRPr="00746F55">
        <w:rPr>
          <w:rFonts w:ascii="Bookman Old Style" w:hAnsi="Bookman Old Style"/>
          <w:b/>
          <w:sz w:val="32"/>
          <w:szCs w:val="32"/>
        </w:rPr>
        <w:t>Y</w:t>
      </w:r>
    </w:p>
    <w:p w14:paraId="62F57745" w14:textId="32C9AD52" w:rsidR="008A7D38" w:rsidRPr="00746F55" w:rsidRDefault="008A7D38" w:rsidP="008A7D38">
      <w:pPr>
        <w:spacing w:after="0" w:line="240" w:lineRule="auto"/>
        <w:jc w:val="center"/>
        <w:rPr>
          <w:rFonts w:ascii="Bookman Old Style" w:hAnsi="Bookman Old Style"/>
          <w:b/>
          <w:sz w:val="32"/>
          <w:szCs w:val="32"/>
        </w:rPr>
      </w:pPr>
      <w:r w:rsidRPr="00746F55">
        <w:rPr>
          <w:rFonts w:ascii="Bookman Old Style" w:hAnsi="Bookman Old Style"/>
          <w:b/>
          <w:sz w:val="32"/>
          <w:szCs w:val="32"/>
        </w:rPr>
        <w:t>EL RETO DEMOGRÁFICO</w:t>
      </w:r>
    </w:p>
    <w:p w14:paraId="7DED8201" w14:textId="77777777" w:rsidR="008A7D38" w:rsidRPr="00746F55" w:rsidRDefault="008A7D38" w:rsidP="008A7D38">
      <w:pPr>
        <w:spacing w:after="0" w:line="240" w:lineRule="auto"/>
        <w:jc w:val="center"/>
        <w:rPr>
          <w:rFonts w:ascii="Bookman Old Style" w:hAnsi="Bookman Old Style"/>
          <w:b/>
          <w:sz w:val="28"/>
          <w:szCs w:val="28"/>
        </w:rPr>
      </w:pPr>
      <w:r w:rsidRPr="00746F55">
        <w:rPr>
          <w:rFonts w:ascii="Bookman Old Style" w:hAnsi="Bookman Old Style"/>
          <w:b/>
          <w:sz w:val="28"/>
          <w:szCs w:val="28"/>
        </w:rPr>
        <w:t xml:space="preserve">Secretaría General </w:t>
      </w:r>
    </w:p>
    <w:p w14:paraId="1BA16ECE" w14:textId="77777777" w:rsidR="008A7D38" w:rsidRPr="00746F55" w:rsidRDefault="008A7D38" w:rsidP="008A7D38">
      <w:pPr>
        <w:spacing w:after="0" w:line="240" w:lineRule="auto"/>
        <w:jc w:val="center"/>
        <w:rPr>
          <w:rFonts w:ascii="Bookman Old Style" w:hAnsi="Bookman Old Style"/>
          <w:sz w:val="18"/>
          <w:szCs w:val="18"/>
        </w:rPr>
      </w:pPr>
      <w:r w:rsidRPr="00F07184">
        <w:rPr>
          <w:rFonts w:ascii="Bookman Old Style" w:hAnsi="Bookman Old Style"/>
          <w:sz w:val="18"/>
          <w:szCs w:val="18"/>
        </w:rPr>
        <w:t>Pl. de San Juan de la Cruz, 10</w:t>
      </w:r>
      <w:r>
        <w:rPr>
          <w:rFonts w:ascii="Bookman Old Style" w:hAnsi="Bookman Old Style"/>
          <w:sz w:val="18"/>
          <w:szCs w:val="18"/>
        </w:rPr>
        <w:t xml:space="preserve"> </w:t>
      </w:r>
    </w:p>
    <w:p w14:paraId="1B2493DA" w14:textId="77777777" w:rsidR="008A7D38" w:rsidRPr="00746F55" w:rsidRDefault="008A7D38" w:rsidP="008A7D38">
      <w:pPr>
        <w:spacing w:after="0" w:line="240" w:lineRule="auto"/>
        <w:jc w:val="center"/>
        <w:rPr>
          <w:rFonts w:ascii="Bookman Old Style" w:hAnsi="Bookman Old Style"/>
          <w:b/>
          <w:sz w:val="18"/>
          <w:szCs w:val="18"/>
        </w:rPr>
      </w:pPr>
      <w:r w:rsidRPr="00746F55">
        <w:rPr>
          <w:rFonts w:ascii="Bookman Old Style" w:hAnsi="Bookman Old Style"/>
          <w:sz w:val="18"/>
          <w:szCs w:val="18"/>
        </w:rPr>
        <w:t>280</w:t>
      </w:r>
      <w:r>
        <w:rPr>
          <w:rFonts w:ascii="Bookman Old Style" w:hAnsi="Bookman Old Style"/>
          <w:sz w:val="18"/>
          <w:szCs w:val="18"/>
        </w:rPr>
        <w:t>03</w:t>
      </w:r>
      <w:r w:rsidRPr="00746F55">
        <w:rPr>
          <w:rFonts w:ascii="Bookman Old Style" w:hAnsi="Bookman Old Style"/>
          <w:sz w:val="18"/>
          <w:szCs w:val="18"/>
        </w:rPr>
        <w:t xml:space="preserve"> Madrid (Madrid)</w:t>
      </w:r>
    </w:p>
    <w:p w14:paraId="6548E2D1" w14:textId="77777777" w:rsidR="008A7D38" w:rsidRPr="00746F55" w:rsidRDefault="008A7D38" w:rsidP="008A7D38">
      <w:pPr>
        <w:pBdr>
          <w:bottom w:val="single" w:sz="4" w:space="1" w:color="auto"/>
        </w:pBdr>
        <w:spacing w:after="0" w:line="240" w:lineRule="auto"/>
        <w:jc w:val="both"/>
        <w:rPr>
          <w:rFonts w:ascii="Bookman Old Style" w:eastAsia="Times New Roman" w:hAnsi="Bookman Old Style"/>
          <w:b/>
          <w:lang w:eastAsia="es-ES"/>
        </w:rPr>
      </w:pPr>
    </w:p>
    <w:p w14:paraId="7E3AA463" w14:textId="2803BB14" w:rsidR="008A7D38" w:rsidRPr="009A1CBB" w:rsidRDefault="008A7D38" w:rsidP="009A1CBB">
      <w:pPr>
        <w:tabs>
          <w:tab w:val="left" w:pos="4253"/>
          <w:tab w:val="left" w:leader="dot" w:pos="9923"/>
        </w:tabs>
        <w:spacing w:before="240" w:after="0" w:line="360" w:lineRule="auto"/>
        <w:jc w:val="both"/>
        <w:rPr>
          <w:rFonts w:ascii="Bookman Old Style" w:eastAsia="Times New Roman" w:hAnsi="Bookman Old Style"/>
          <w:sz w:val="24"/>
          <w:szCs w:val="24"/>
          <w:lang w:eastAsia="es-ES"/>
        </w:rPr>
      </w:pPr>
      <w:r w:rsidRPr="009A1CBB">
        <w:rPr>
          <w:rFonts w:ascii="Bookman Old Style" w:eastAsia="Times New Roman" w:hAnsi="Bookman Old Style"/>
          <w:sz w:val="24"/>
          <w:szCs w:val="24"/>
          <w:lang w:eastAsia="es-ES"/>
        </w:rPr>
        <w:t>Nombre</w:t>
      </w:r>
      <w:r w:rsidR="009A1CBB" w:rsidRPr="009A1CBB">
        <w:rPr>
          <w:rFonts w:ascii="Bookman Old Style" w:eastAsia="Times New Roman" w:hAnsi="Bookman Old Style"/>
          <w:sz w:val="24"/>
          <w:szCs w:val="24"/>
          <w:lang w:eastAsia="es-ES"/>
        </w:rPr>
        <w:tab/>
      </w:r>
      <w:r w:rsidRPr="009A1CBB">
        <w:rPr>
          <w:rFonts w:ascii="Bookman Old Style" w:eastAsia="Times New Roman" w:hAnsi="Bookman Old Style"/>
          <w:sz w:val="24"/>
          <w:szCs w:val="24"/>
          <w:lang w:eastAsia="es-ES"/>
        </w:rPr>
        <w:t>Apellidos</w:t>
      </w:r>
    </w:p>
    <w:p w14:paraId="05F22A6E" w14:textId="77777777" w:rsidR="009A1CBB" w:rsidRPr="009A1CBB" w:rsidRDefault="009A1CBB" w:rsidP="008A7D38">
      <w:pPr>
        <w:tabs>
          <w:tab w:val="left" w:leader="dot" w:pos="2835"/>
          <w:tab w:val="left" w:leader="dot" w:pos="9923"/>
        </w:tabs>
        <w:spacing w:after="0" w:line="360" w:lineRule="auto"/>
        <w:jc w:val="both"/>
        <w:rPr>
          <w:rFonts w:ascii="Bookman Old Style" w:eastAsia="Times New Roman" w:hAnsi="Bookman Old Style"/>
          <w:sz w:val="24"/>
          <w:szCs w:val="24"/>
          <w:lang w:eastAsia="es-ES"/>
        </w:rPr>
      </w:pPr>
      <w:r w:rsidRPr="009A1CBB">
        <w:rPr>
          <w:rFonts w:ascii="Bookman Old Style" w:eastAsia="Times New Roman" w:hAnsi="Bookman Old Style"/>
          <w:sz w:val="24"/>
          <w:szCs w:val="24"/>
          <w:lang w:eastAsia="es-ES"/>
        </w:rPr>
        <w:t>DNI</w:t>
      </w:r>
    </w:p>
    <w:p w14:paraId="2AC156D6" w14:textId="7249D7F5" w:rsidR="008A7D38" w:rsidRPr="009A1CBB" w:rsidRDefault="009A1CBB" w:rsidP="008A7D38">
      <w:pPr>
        <w:tabs>
          <w:tab w:val="left" w:leader="dot" w:pos="2835"/>
          <w:tab w:val="left" w:leader="dot" w:pos="9923"/>
        </w:tabs>
        <w:spacing w:after="0" w:line="360" w:lineRule="auto"/>
        <w:jc w:val="both"/>
        <w:rPr>
          <w:rFonts w:ascii="Bookman Old Style" w:eastAsia="Times New Roman" w:hAnsi="Bookman Old Style"/>
          <w:sz w:val="24"/>
          <w:szCs w:val="24"/>
          <w:lang w:eastAsia="es-ES"/>
        </w:rPr>
      </w:pPr>
      <w:r w:rsidRPr="009A1CBB">
        <w:rPr>
          <w:rFonts w:ascii="Bookman Old Style" w:eastAsia="Times New Roman" w:hAnsi="Bookman Old Style"/>
          <w:sz w:val="24"/>
          <w:szCs w:val="24"/>
          <w:lang w:eastAsia="es-ES"/>
        </w:rPr>
        <w:t>En representación de la Asociación</w:t>
      </w:r>
    </w:p>
    <w:p w14:paraId="43B001B7" w14:textId="3948094D" w:rsidR="009A1CBB" w:rsidRPr="009A1CBB" w:rsidRDefault="009A1CBB" w:rsidP="009A1CBB">
      <w:pPr>
        <w:tabs>
          <w:tab w:val="left" w:pos="2835"/>
          <w:tab w:val="left" w:leader="dot" w:pos="9923"/>
        </w:tabs>
        <w:spacing w:after="0" w:line="360" w:lineRule="auto"/>
        <w:jc w:val="both"/>
        <w:rPr>
          <w:rFonts w:ascii="Bookman Old Style" w:eastAsia="Times New Roman" w:hAnsi="Bookman Old Style" w:cs="Tahoma"/>
          <w:b/>
          <w:sz w:val="24"/>
          <w:szCs w:val="24"/>
          <w:lang w:eastAsia="es-ES"/>
        </w:rPr>
      </w:pPr>
      <w:r w:rsidRPr="009A1CBB">
        <w:rPr>
          <w:rFonts w:ascii="Bookman Old Style" w:eastAsia="Times New Roman" w:hAnsi="Bookman Old Style"/>
          <w:sz w:val="24"/>
          <w:szCs w:val="24"/>
          <w:lang w:eastAsia="es-ES"/>
        </w:rPr>
        <w:t>C</w:t>
      </w:r>
      <w:r w:rsidR="008A7D38" w:rsidRPr="009A1CBB">
        <w:rPr>
          <w:rFonts w:ascii="Bookman Old Style" w:eastAsia="Times New Roman" w:hAnsi="Bookman Old Style"/>
          <w:sz w:val="24"/>
          <w:szCs w:val="24"/>
          <w:lang w:eastAsia="es-ES"/>
        </w:rPr>
        <w:t>I</w:t>
      </w:r>
      <w:r w:rsidRPr="009A1CBB">
        <w:rPr>
          <w:rFonts w:ascii="Bookman Old Style" w:eastAsia="Times New Roman" w:hAnsi="Bookman Old Style"/>
          <w:sz w:val="24"/>
          <w:szCs w:val="24"/>
          <w:lang w:eastAsia="es-ES"/>
        </w:rPr>
        <w:t>F</w:t>
      </w:r>
      <w:r w:rsidRPr="009A1CBB">
        <w:rPr>
          <w:rFonts w:ascii="Bookman Old Style" w:eastAsia="Times New Roman" w:hAnsi="Bookman Old Style"/>
          <w:sz w:val="24"/>
          <w:szCs w:val="24"/>
          <w:lang w:eastAsia="es-ES"/>
        </w:rPr>
        <w:tab/>
        <w:t xml:space="preserve">Con </w:t>
      </w:r>
      <w:proofErr w:type="spellStart"/>
      <w:r w:rsidRPr="009A1CBB">
        <w:rPr>
          <w:rFonts w:ascii="Bookman Old Style" w:eastAsia="Times New Roman" w:hAnsi="Bookman Old Style"/>
          <w:sz w:val="24"/>
          <w:szCs w:val="24"/>
          <w:lang w:eastAsia="es-ES"/>
        </w:rPr>
        <w:t>Nº</w:t>
      </w:r>
      <w:proofErr w:type="spellEnd"/>
      <w:r w:rsidRPr="009A1CBB">
        <w:rPr>
          <w:rFonts w:ascii="Bookman Old Style" w:eastAsia="Times New Roman" w:hAnsi="Bookman Old Style"/>
          <w:sz w:val="24"/>
          <w:szCs w:val="24"/>
          <w:lang w:eastAsia="es-ES"/>
        </w:rPr>
        <w:t xml:space="preserve"> de Inscripción</w:t>
      </w:r>
    </w:p>
    <w:p w14:paraId="1D33CFB8" w14:textId="5AA77EB2" w:rsidR="008A7D38" w:rsidRPr="009A1CBB" w:rsidRDefault="008A7D38" w:rsidP="009A1CBB">
      <w:pPr>
        <w:tabs>
          <w:tab w:val="left" w:pos="4678"/>
          <w:tab w:val="left" w:pos="6946"/>
          <w:tab w:val="left" w:leader="dot" w:pos="9923"/>
        </w:tabs>
        <w:spacing w:after="0" w:line="360" w:lineRule="auto"/>
        <w:jc w:val="both"/>
        <w:rPr>
          <w:rFonts w:ascii="Bookman Old Style" w:eastAsia="Times New Roman" w:hAnsi="Bookman Old Style"/>
          <w:sz w:val="24"/>
          <w:szCs w:val="24"/>
          <w:lang w:eastAsia="es-ES"/>
        </w:rPr>
      </w:pPr>
      <w:r w:rsidRPr="009A1CBB">
        <w:rPr>
          <w:rFonts w:ascii="Bookman Old Style" w:eastAsia="Times New Roman" w:hAnsi="Bookman Old Style"/>
          <w:sz w:val="24"/>
          <w:szCs w:val="24"/>
          <w:lang w:eastAsia="es-ES"/>
        </w:rPr>
        <w:t>Domicilio</w:t>
      </w:r>
      <w:r w:rsidR="009A1CBB" w:rsidRPr="009A1CBB">
        <w:rPr>
          <w:rFonts w:ascii="Bookman Old Style" w:eastAsia="Times New Roman" w:hAnsi="Bookman Old Style"/>
          <w:sz w:val="24"/>
          <w:szCs w:val="24"/>
          <w:lang w:eastAsia="es-ES"/>
        </w:rPr>
        <w:tab/>
      </w:r>
      <w:r w:rsidRPr="009A1CBB">
        <w:rPr>
          <w:rFonts w:ascii="Bookman Old Style" w:eastAsia="Times New Roman" w:hAnsi="Bookman Old Style"/>
          <w:sz w:val="24"/>
          <w:szCs w:val="24"/>
          <w:lang w:eastAsia="es-ES"/>
        </w:rPr>
        <w:t>Ciudad</w:t>
      </w:r>
      <w:r w:rsidR="009A1CBB" w:rsidRPr="009A1CBB">
        <w:rPr>
          <w:rFonts w:ascii="Bookman Old Style" w:eastAsia="Times New Roman" w:hAnsi="Bookman Old Style"/>
          <w:sz w:val="24"/>
          <w:szCs w:val="24"/>
          <w:lang w:eastAsia="es-ES"/>
        </w:rPr>
        <w:tab/>
        <w:t>CP</w:t>
      </w:r>
    </w:p>
    <w:p w14:paraId="67B47C04" w14:textId="5429CB2E" w:rsidR="008A7D38" w:rsidRPr="009A1CBB" w:rsidRDefault="008A7D38" w:rsidP="008A7D38">
      <w:pPr>
        <w:pBdr>
          <w:bottom w:val="single" w:sz="4" w:space="1" w:color="auto"/>
        </w:pBdr>
        <w:tabs>
          <w:tab w:val="left" w:leader="dot" w:pos="3686"/>
          <w:tab w:val="left" w:leader="dot" w:pos="9923"/>
        </w:tabs>
        <w:spacing w:after="0" w:line="360" w:lineRule="auto"/>
        <w:jc w:val="both"/>
        <w:rPr>
          <w:rFonts w:ascii="Bookman Old Style" w:eastAsia="Times New Roman" w:hAnsi="Bookman Old Style"/>
          <w:sz w:val="24"/>
          <w:szCs w:val="24"/>
          <w:lang w:eastAsia="es-ES"/>
        </w:rPr>
      </w:pPr>
      <w:r w:rsidRPr="009A1CBB">
        <w:rPr>
          <w:rFonts w:ascii="Bookman Old Style" w:eastAsia="Times New Roman" w:hAnsi="Bookman Old Style"/>
          <w:sz w:val="24"/>
          <w:szCs w:val="24"/>
          <w:lang w:eastAsia="es-ES"/>
        </w:rPr>
        <w:t xml:space="preserve">E-mail </w:t>
      </w:r>
      <w:r w:rsidR="009A1CBB" w:rsidRPr="009A1CBB">
        <w:rPr>
          <w:rFonts w:ascii="Bookman Old Style" w:eastAsia="Times New Roman" w:hAnsi="Bookman Old Style"/>
          <w:sz w:val="24"/>
          <w:szCs w:val="24"/>
          <w:lang w:eastAsia="es-ES"/>
        </w:rPr>
        <w:t xml:space="preserve">a efectos de notificaciones digitales: </w:t>
      </w:r>
    </w:p>
    <w:p w14:paraId="225B4941" w14:textId="77777777" w:rsidR="009A1CBB" w:rsidRDefault="009A1CBB" w:rsidP="00702E9D">
      <w:pPr>
        <w:spacing w:after="0" w:line="240" w:lineRule="auto"/>
        <w:jc w:val="both"/>
        <w:rPr>
          <w:rFonts w:ascii="Bookman Old Style" w:hAnsi="Bookman Old Style"/>
          <w:b/>
        </w:rPr>
      </w:pPr>
    </w:p>
    <w:p w14:paraId="337CD70F" w14:textId="77777777" w:rsidR="009A1CBB" w:rsidRDefault="009A1CBB" w:rsidP="00702E9D">
      <w:pPr>
        <w:spacing w:after="0" w:line="240" w:lineRule="auto"/>
        <w:jc w:val="both"/>
        <w:rPr>
          <w:rFonts w:ascii="Bookman Old Style" w:hAnsi="Bookman Old Style"/>
          <w:b/>
        </w:rPr>
      </w:pPr>
    </w:p>
    <w:p w14:paraId="28CCF181" w14:textId="53348EE8" w:rsidR="008A7D38" w:rsidRPr="00746F55" w:rsidRDefault="008A7D38" w:rsidP="00702E9D">
      <w:pPr>
        <w:spacing w:after="0" w:line="240" w:lineRule="auto"/>
        <w:jc w:val="both"/>
        <w:rPr>
          <w:rFonts w:ascii="Bookman Old Style" w:hAnsi="Bookman Old Style"/>
          <w:b/>
        </w:rPr>
      </w:pPr>
      <w:r w:rsidRPr="00746F55">
        <w:rPr>
          <w:rFonts w:ascii="Bookman Old Style" w:hAnsi="Bookman Old Style"/>
          <w:b/>
        </w:rPr>
        <w:t>ASUNTO: PERSONACIÓN, PRESENTACIÓN DE ALEGACIONES AL PROYECTO DE REAL DECRETO POR EL QUE SE APRUEBAN MEDIDAS URGENTES PARA EL REFUERZO DEL SISTEMA ELÉCTRICO, CON SOLICITUD DE ACCESO AL EXPEDIENTE COMPLETO, SUSPENSIÓN DEL PROCEDIMIENTO POR DERECHO A LA DESCONEXIÓN Y OPOSICIÓN A SU TRAMITACIÓN POR VULNERACIÓN DE PRINCIPIOS CONSTITUCIONALES, AMBIENTALES Y DE PARTICIPACIÓN PÚBLICA.</w:t>
      </w:r>
    </w:p>
    <w:p w14:paraId="5959A1ED" w14:textId="77777777" w:rsidR="008A7D38" w:rsidRDefault="008A7D38" w:rsidP="008A7D38">
      <w:pPr>
        <w:pStyle w:val="Default"/>
        <w:jc w:val="both"/>
        <w:rPr>
          <w:rFonts w:ascii="Bookman Old Style" w:hAnsi="Bookman Old Style"/>
        </w:rPr>
      </w:pPr>
    </w:p>
    <w:p w14:paraId="2D09F811" w14:textId="77777777" w:rsidR="009A1CBB" w:rsidRDefault="009A1CBB" w:rsidP="008A7D38">
      <w:pPr>
        <w:pStyle w:val="Default"/>
        <w:jc w:val="both"/>
        <w:rPr>
          <w:rFonts w:ascii="Bookman Old Style" w:hAnsi="Bookman Old Style"/>
        </w:rPr>
      </w:pPr>
    </w:p>
    <w:p w14:paraId="5EA5E68D" w14:textId="77777777" w:rsidR="008A7D38" w:rsidRDefault="008A7D38" w:rsidP="00702E9D">
      <w:pPr>
        <w:pStyle w:val="Default"/>
        <w:jc w:val="both"/>
        <w:rPr>
          <w:rFonts w:ascii="Bookman Old Style" w:hAnsi="Bookman Old Style"/>
        </w:rPr>
      </w:pPr>
      <w:r w:rsidRPr="00F07184">
        <w:rPr>
          <w:rFonts w:ascii="Bookman Old Style" w:hAnsi="Bookman Old Style"/>
        </w:rPr>
        <w:t>Habiendo tenido conocimiento por parte de los diferentes medios sobre</w:t>
      </w:r>
      <w:r>
        <w:rPr>
          <w:rFonts w:ascii="Bookman Old Style" w:hAnsi="Bookman Old Style"/>
        </w:rPr>
        <w:t xml:space="preserve"> del procedimiento de tramitación pública</w:t>
      </w:r>
      <w:r w:rsidRPr="00F07184">
        <w:rPr>
          <w:rFonts w:ascii="Bookman Old Style" w:hAnsi="Bookman Old Style"/>
        </w:rPr>
        <w:t xml:space="preserve"> abierto en relación con el </w:t>
      </w:r>
      <w:r w:rsidRPr="00F07184">
        <w:rPr>
          <w:rFonts w:ascii="Bookman Old Style" w:hAnsi="Bookman Old Style"/>
          <w:b/>
          <w:bCs/>
        </w:rPr>
        <w:t>“PROYECTO DE REAL DECRETO POR EL QUE SE APRUEBAN MEDIDAS URGENTES PARA EL REFUERZO DEL SISTEMA ELÉCTRICO</w:t>
      </w:r>
      <w:r w:rsidRPr="00F07184">
        <w:rPr>
          <w:rFonts w:ascii="Bookman Old Style" w:hAnsi="Bookman Old Style"/>
        </w:rPr>
        <w:t>”, y al amparo de lo establecido en el artículo 13 y 133 de la Ley 39/2015 de 1 de octubre, del Procedimientos Administrativo Común de las Administraciones Públicas, Orden PRE/1590/2016, de 3 de octubre, por la que se publica el Acuerdo del Consejo de Ministros de 30 de septiembre de 2016, por el que se dictan instrucciones para habilitar la participación pública en el proceso de elaboración normativa, la Ley 19/2013, de 9 de diciembre, de Transparencia, Acceso a la Información Pública y Buen Gobierno y la Ley 50/1997 de 27 de noviembre, del Gobierno, donde se establece en su artículo 26 las dos vías para posibilitar la participación de ciudadanos, organizaciones y asociaciones en el proceso de elaboración de los anteproyectos de ley, proyectos de real decreto legislativo y proyectos de normas reglamentarias impulsados por la Administración General del Estado.</w:t>
      </w:r>
    </w:p>
    <w:p w14:paraId="1D8A86D1" w14:textId="77777777" w:rsidR="008A7D38" w:rsidRDefault="008A7D38" w:rsidP="008A7D38">
      <w:pPr>
        <w:pStyle w:val="Default"/>
        <w:jc w:val="both"/>
        <w:rPr>
          <w:rFonts w:ascii="Bookman Old Style" w:hAnsi="Bookman Old Style"/>
        </w:rPr>
      </w:pPr>
    </w:p>
    <w:p w14:paraId="6662C05D" w14:textId="77777777" w:rsidR="008A7D38" w:rsidRPr="00746F55" w:rsidRDefault="008A7D38" w:rsidP="00702E9D">
      <w:pPr>
        <w:pStyle w:val="Default"/>
        <w:jc w:val="both"/>
        <w:rPr>
          <w:rFonts w:ascii="Bookman Old Style" w:hAnsi="Bookman Old Style"/>
        </w:rPr>
      </w:pPr>
      <w:r>
        <w:rPr>
          <w:rFonts w:ascii="Bookman Old Style" w:hAnsi="Bookman Old Style"/>
        </w:rPr>
        <w:t>Por la presente, se comparece</w:t>
      </w:r>
      <w:r w:rsidRPr="00746F55">
        <w:rPr>
          <w:rFonts w:ascii="Bookman Old Style" w:hAnsi="Bookman Old Style"/>
        </w:rPr>
        <w:t xml:space="preserve">, y </w:t>
      </w:r>
      <w:r>
        <w:rPr>
          <w:rFonts w:ascii="Bookman Old Style" w:hAnsi="Bookman Old Style"/>
        </w:rPr>
        <w:t xml:space="preserve">se </w:t>
      </w:r>
      <w:r w:rsidRPr="00746F55">
        <w:rPr>
          <w:rFonts w:ascii="Bookman Old Style" w:hAnsi="Bookman Old Style"/>
        </w:rPr>
        <w:t>formula las siguientes:</w:t>
      </w:r>
    </w:p>
    <w:p w14:paraId="757A91B7" w14:textId="77777777" w:rsidR="008A7D38" w:rsidRDefault="008A7D38" w:rsidP="008A7D38">
      <w:pPr>
        <w:pStyle w:val="Default"/>
        <w:jc w:val="both"/>
        <w:rPr>
          <w:rFonts w:ascii="Bookman Old Style" w:hAnsi="Bookman Old Style"/>
          <w:b/>
          <w:bCs/>
        </w:rPr>
      </w:pPr>
    </w:p>
    <w:p w14:paraId="771D2EFF" w14:textId="77777777" w:rsidR="009A1CBB" w:rsidRDefault="009A1CBB">
      <w:pPr>
        <w:spacing w:after="160" w:line="259" w:lineRule="auto"/>
        <w:rPr>
          <w:rFonts w:ascii="Bookman Old Style" w:hAnsi="Bookman Old Style" w:cs="Cambria"/>
          <w:b/>
          <w:bCs/>
          <w:color w:val="000000"/>
          <w:sz w:val="24"/>
          <w:szCs w:val="24"/>
          <w:lang w:eastAsia="es-ES"/>
        </w:rPr>
      </w:pPr>
      <w:r>
        <w:rPr>
          <w:rFonts w:ascii="Bookman Old Style" w:hAnsi="Bookman Old Style"/>
          <w:b/>
          <w:bCs/>
        </w:rPr>
        <w:br w:type="page"/>
      </w:r>
    </w:p>
    <w:p w14:paraId="7A3502D4" w14:textId="727E6CB4" w:rsidR="008A7D38" w:rsidRPr="00746F55" w:rsidRDefault="008A7D38" w:rsidP="008A7D38">
      <w:pPr>
        <w:pStyle w:val="Default"/>
        <w:jc w:val="center"/>
        <w:rPr>
          <w:rFonts w:ascii="Bookman Old Style" w:hAnsi="Bookman Old Style"/>
        </w:rPr>
      </w:pPr>
      <w:r w:rsidRPr="00746F55">
        <w:rPr>
          <w:rFonts w:ascii="Bookman Old Style" w:hAnsi="Bookman Old Style"/>
          <w:b/>
          <w:bCs/>
        </w:rPr>
        <w:lastRenderedPageBreak/>
        <w:t>ALEGACIONES</w:t>
      </w:r>
    </w:p>
    <w:p w14:paraId="5EBA67D7" w14:textId="77777777" w:rsidR="008A7D38" w:rsidRDefault="008A7D38" w:rsidP="008A7D38">
      <w:pPr>
        <w:pStyle w:val="Default"/>
        <w:jc w:val="both"/>
        <w:rPr>
          <w:rFonts w:ascii="Bookman Old Style" w:hAnsi="Bookman Old Style"/>
          <w:b/>
          <w:bCs/>
        </w:rPr>
      </w:pPr>
    </w:p>
    <w:p w14:paraId="302E8171" w14:textId="2F211DE7" w:rsidR="008A7D38" w:rsidRPr="00746F55" w:rsidRDefault="008A7D38" w:rsidP="009A1CBB">
      <w:pPr>
        <w:pStyle w:val="Default"/>
        <w:numPr>
          <w:ilvl w:val="0"/>
          <w:numId w:val="3"/>
        </w:numPr>
        <w:spacing w:after="240"/>
        <w:ind w:left="567" w:hanging="567"/>
        <w:jc w:val="both"/>
        <w:rPr>
          <w:rFonts w:ascii="Bookman Old Style" w:hAnsi="Bookman Old Style"/>
        </w:rPr>
      </w:pPr>
      <w:r w:rsidRPr="00746F55">
        <w:rPr>
          <w:rFonts w:ascii="Bookman Old Style" w:hAnsi="Bookman Old Style"/>
          <w:b/>
          <w:bCs/>
        </w:rPr>
        <w:t>SOBRE EL DERECHO DE ACCESO AL EXPEDIENTE ADMINISTRATIVO Y LA NECESIDAD DE TRANSPARENCIA</w:t>
      </w:r>
    </w:p>
    <w:p w14:paraId="47A22252" w14:textId="77777777" w:rsidR="008A7D38" w:rsidRDefault="008A7D38" w:rsidP="008A7D38">
      <w:pPr>
        <w:pStyle w:val="Default"/>
        <w:jc w:val="both"/>
        <w:rPr>
          <w:rFonts w:ascii="Bookman Old Style" w:hAnsi="Bookman Old Style"/>
        </w:rPr>
      </w:pPr>
      <w:r w:rsidRPr="00746F55">
        <w:rPr>
          <w:rFonts w:ascii="Bookman Old Style" w:hAnsi="Bookman Old Style"/>
        </w:rPr>
        <w:t xml:space="preserve">Con carácter previo, se ejercita expresamente el derecho reconocido en el artículo 53.1.a) de la Ley 39/2015, de 1 de octubre, del Procedimiento Administrativo Común de las Administraciones Públicas, solicitando el </w:t>
      </w:r>
      <w:r>
        <w:rPr>
          <w:rFonts w:ascii="Bookman Old Style" w:hAnsi="Bookman Old Style"/>
          <w:b/>
          <w:bCs/>
        </w:rPr>
        <w:t>ACCESO Y COPIA DEL EXPEDIENTE ADMINISTRATIVO</w:t>
      </w:r>
      <w:r w:rsidRPr="00746F55">
        <w:rPr>
          <w:rFonts w:ascii="Bookman Old Style" w:hAnsi="Bookman Old Style"/>
          <w:b/>
          <w:bCs/>
        </w:rPr>
        <w:t xml:space="preserve"> COMPLETO </w:t>
      </w:r>
      <w:r>
        <w:rPr>
          <w:rFonts w:ascii="Bookman Old Style" w:hAnsi="Bookman Old Style"/>
          <w:b/>
          <w:bCs/>
        </w:rPr>
        <w:t>FOLIADO CON CERTIFICACIÓN DE LA TOTALIDAD DE LA DOCUMENTAL</w:t>
      </w:r>
      <w:r w:rsidRPr="00746F55">
        <w:rPr>
          <w:rFonts w:ascii="Bookman Old Style" w:hAnsi="Bookman Old Style"/>
        </w:rPr>
        <w:t xml:space="preserve"> que ha dado lugar tanto al derogado </w:t>
      </w:r>
      <w:r w:rsidRPr="00746F55">
        <w:rPr>
          <w:rFonts w:ascii="Bookman Old Style" w:hAnsi="Bookman Old Style"/>
          <w:b/>
          <w:bCs/>
        </w:rPr>
        <w:t>Real Decreto-ley 7/2025</w:t>
      </w:r>
      <w:r w:rsidRPr="00746F55">
        <w:rPr>
          <w:rFonts w:ascii="Bookman Old Style" w:hAnsi="Bookman Old Style"/>
        </w:rPr>
        <w:t xml:space="preserve">, rechazado por el Congreso </w:t>
      </w:r>
      <w:r w:rsidR="0078675A">
        <w:rPr>
          <w:rFonts w:ascii="Bookman Old Style" w:hAnsi="Bookman Old Style"/>
        </w:rPr>
        <w:t xml:space="preserve">de Diputados </w:t>
      </w:r>
      <w:r w:rsidRPr="00746F55">
        <w:rPr>
          <w:rFonts w:ascii="Bookman Old Style" w:hAnsi="Bookman Old Style"/>
        </w:rPr>
        <w:t>en sesión plenaria de 22 de julio de 2025, como al presente proyecto normativo que, a pesar de su distinto rango formal, contiene elementos sustanciales coincidentes con aquel.</w:t>
      </w:r>
    </w:p>
    <w:p w14:paraId="320B887F" w14:textId="77777777" w:rsidR="008A7D38" w:rsidRPr="00746F55" w:rsidRDefault="008A7D38" w:rsidP="008A7D38">
      <w:pPr>
        <w:pStyle w:val="Default"/>
        <w:jc w:val="both"/>
        <w:rPr>
          <w:rFonts w:ascii="Bookman Old Style" w:hAnsi="Bookman Old Style"/>
        </w:rPr>
      </w:pPr>
    </w:p>
    <w:p w14:paraId="7F803F68" w14:textId="77777777" w:rsidR="008A7D38" w:rsidRDefault="008A7D38" w:rsidP="004B46A3">
      <w:pPr>
        <w:pStyle w:val="Default"/>
        <w:jc w:val="both"/>
        <w:rPr>
          <w:rFonts w:ascii="Bookman Old Style" w:hAnsi="Bookman Old Style"/>
        </w:rPr>
      </w:pPr>
      <w:r w:rsidRPr="00746F55">
        <w:rPr>
          <w:rFonts w:ascii="Bookman Old Style" w:hAnsi="Bookman Old Style"/>
        </w:rPr>
        <w:t xml:space="preserve">La transparencia y la garantía del debido procedimiento exigen que cualquier ciudadano, entidad o colectivo afectado por esta regulación tenga acceso a la totalidad de los documentos, informes, consultas, dictámenes y antecedentes que conformaron el </w:t>
      </w:r>
      <w:proofErr w:type="spellStart"/>
      <w:r w:rsidRPr="00746F55">
        <w:rPr>
          <w:rFonts w:ascii="Bookman Old Style" w:hAnsi="Bookman Old Style"/>
        </w:rPr>
        <w:t>iter</w:t>
      </w:r>
      <w:proofErr w:type="spellEnd"/>
      <w:r w:rsidRPr="00746F55">
        <w:rPr>
          <w:rFonts w:ascii="Bookman Old Style" w:hAnsi="Bookman Old Style"/>
        </w:rPr>
        <w:t xml:space="preserve"> procedimental. </w:t>
      </w:r>
    </w:p>
    <w:p w14:paraId="760D7FB9" w14:textId="77777777" w:rsidR="008902D8" w:rsidRDefault="008902D8" w:rsidP="008902D8">
      <w:pPr>
        <w:pStyle w:val="Default"/>
        <w:ind w:firstLine="708"/>
        <w:jc w:val="both"/>
        <w:rPr>
          <w:rFonts w:ascii="Bookman Old Style" w:hAnsi="Bookman Old Style"/>
        </w:rPr>
      </w:pPr>
    </w:p>
    <w:p w14:paraId="7EE9E1A7" w14:textId="77777777" w:rsidR="008A7D38" w:rsidRDefault="008A7D38" w:rsidP="004B46A3">
      <w:pPr>
        <w:pStyle w:val="Default"/>
        <w:jc w:val="both"/>
        <w:rPr>
          <w:rFonts w:ascii="Bookman Old Style" w:hAnsi="Bookman Old Style"/>
        </w:rPr>
      </w:pPr>
      <w:r w:rsidRPr="00746F55">
        <w:rPr>
          <w:rFonts w:ascii="Bookman Old Style" w:hAnsi="Bookman Old Style"/>
        </w:rPr>
        <w:t>La negativa a facilitar dicho expediente vulneraría el principio de publicidad y participación pública consagrado en el artículo 105.b) de la Constitución Española y en el Convenio de Aarhus (ratificado por España mediante Instrumento de 23 de diciembre de 2004), en relación con el derecho de acceso a la información ambiental.</w:t>
      </w:r>
    </w:p>
    <w:p w14:paraId="6D82B0D6" w14:textId="77777777" w:rsidR="008A7D38" w:rsidRDefault="008A7D38" w:rsidP="008A7D38">
      <w:pPr>
        <w:pStyle w:val="Default"/>
        <w:jc w:val="both"/>
        <w:rPr>
          <w:rFonts w:ascii="Bookman Old Style" w:hAnsi="Bookman Old Style"/>
        </w:rPr>
      </w:pPr>
    </w:p>
    <w:p w14:paraId="1305EE4A" w14:textId="77777777" w:rsidR="00702E9D" w:rsidRPr="00746F55" w:rsidRDefault="00702E9D" w:rsidP="008A7D38">
      <w:pPr>
        <w:pStyle w:val="Default"/>
        <w:jc w:val="both"/>
        <w:rPr>
          <w:rFonts w:ascii="Bookman Old Style" w:hAnsi="Bookman Old Style"/>
        </w:rPr>
      </w:pPr>
    </w:p>
    <w:p w14:paraId="49C6F49B" w14:textId="4567C49D" w:rsidR="008A7D38" w:rsidRDefault="008A7D38" w:rsidP="009A1CBB">
      <w:pPr>
        <w:pStyle w:val="Default"/>
        <w:numPr>
          <w:ilvl w:val="0"/>
          <w:numId w:val="3"/>
        </w:numPr>
        <w:spacing w:after="240"/>
        <w:ind w:left="567" w:hanging="567"/>
        <w:jc w:val="both"/>
        <w:rPr>
          <w:rFonts w:ascii="Bookman Old Style" w:hAnsi="Bookman Old Style"/>
          <w:b/>
          <w:bCs/>
        </w:rPr>
      </w:pPr>
      <w:r w:rsidRPr="00746F55">
        <w:rPr>
          <w:rFonts w:ascii="Bookman Old Style" w:hAnsi="Bookman Old Style"/>
          <w:b/>
          <w:bCs/>
        </w:rPr>
        <w:t>DEFICIENCIAS ESTRUCTURALES EN MATERIA DE PLANIFICACIÓN TERRITORIAL ENERGÉTICA</w:t>
      </w:r>
    </w:p>
    <w:p w14:paraId="301FFD37" w14:textId="77777777" w:rsidR="008A7D38" w:rsidRPr="00746F55" w:rsidRDefault="008A7D38" w:rsidP="00702E9D">
      <w:pPr>
        <w:pStyle w:val="Default"/>
        <w:jc w:val="both"/>
        <w:rPr>
          <w:rFonts w:ascii="Bookman Old Style" w:hAnsi="Bookman Old Style"/>
        </w:rPr>
      </w:pPr>
      <w:r w:rsidRPr="00746F55">
        <w:rPr>
          <w:rFonts w:ascii="Bookman Old Style" w:hAnsi="Bookman Old Style"/>
        </w:rPr>
        <w:t xml:space="preserve">Uno de los pilares del Estado de Derecho en el contexto de la transición energética debe ser la planificación ordenada, integral y conforme a principios democráticos del uso del territorio y del despliegue de infraestructuras energéticas. Sin embargo, este proyecto de Real Decreto ignora las obligaciones legales derivadas de la </w:t>
      </w:r>
      <w:r w:rsidRPr="00746F55">
        <w:rPr>
          <w:rFonts w:ascii="Bookman Old Style" w:hAnsi="Bookman Old Style"/>
          <w:b/>
          <w:bCs/>
        </w:rPr>
        <w:t>Ley 7/2021, de 20 de mayo, de Cambio Climático y Transición Energética</w:t>
      </w:r>
      <w:r w:rsidRPr="00746F55">
        <w:rPr>
          <w:rFonts w:ascii="Bookman Old Style" w:hAnsi="Bookman Old Style"/>
        </w:rPr>
        <w:t>, concretamente su artículo 21, que exige la elaboración de una cartografía nacional de renovables con delimitación expresa de zonas de despliegue prioritaria y zonas de exclusión.</w:t>
      </w:r>
    </w:p>
    <w:p w14:paraId="5641FB20" w14:textId="77777777" w:rsidR="008A7D38" w:rsidRDefault="008A7D38" w:rsidP="008A7D38">
      <w:pPr>
        <w:pStyle w:val="Default"/>
        <w:jc w:val="both"/>
        <w:rPr>
          <w:rFonts w:ascii="Bookman Old Style" w:hAnsi="Bookman Old Style"/>
        </w:rPr>
      </w:pPr>
    </w:p>
    <w:p w14:paraId="3C4BD3CA" w14:textId="77777777" w:rsidR="008A7D38" w:rsidRDefault="008A7D38" w:rsidP="00702E9D">
      <w:pPr>
        <w:pStyle w:val="Default"/>
        <w:jc w:val="both"/>
        <w:rPr>
          <w:rFonts w:ascii="Bookman Old Style" w:hAnsi="Bookman Old Style"/>
        </w:rPr>
      </w:pPr>
      <w:r w:rsidRPr="00746F55">
        <w:rPr>
          <w:rFonts w:ascii="Bookman Old Style" w:hAnsi="Bookman Old Style"/>
        </w:rPr>
        <w:t xml:space="preserve">También incumple los artículos 15 ter y 15 </w:t>
      </w:r>
      <w:proofErr w:type="spellStart"/>
      <w:r w:rsidRPr="00746F55">
        <w:rPr>
          <w:rFonts w:ascii="Bookman Old Style" w:hAnsi="Bookman Old Style"/>
        </w:rPr>
        <w:t>quater</w:t>
      </w:r>
      <w:proofErr w:type="spellEnd"/>
      <w:r w:rsidRPr="00746F55">
        <w:rPr>
          <w:rFonts w:ascii="Bookman Old Style" w:hAnsi="Bookman Old Style"/>
        </w:rPr>
        <w:t xml:space="preserve"> de la </w:t>
      </w:r>
      <w:r w:rsidRPr="00746F55">
        <w:rPr>
          <w:rFonts w:ascii="Bookman Old Style" w:hAnsi="Bookman Old Style"/>
          <w:b/>
          <w:bCs/>
        </w:rPr>
        <w:t>Directiva (UE) 2023/2413</w:t>
      </w:r>
      <w:r w:rsidRPr="00746F55">
        <w:rPr>
          <w:rFonts w:ascii="Bookman Old Style" w:hAnsi="Bookman Old Style"/>
        </w:rPr>
        <w:t xml:space="preserve">, que obligan a los Estados miembros a disponer de dicha planificación territorial antes del 21 de mayo de 2025 y a definir zonas de aceleración renovable antes del 21 de febrero de 2026. </w:t>
      </w:r>
    </w:p>
    <w:p w14:paraId="4408CC11" w14:textId="77777777" w:rsidR="008A7D38" w:rsidRDefault="008A7D38" w:rsidP="008A7D38">
      <w:pPr>
        <w:pStyle w:val="Default"/>
        <w:jc w:val="both"/>
        <w:rPr>
          <w:rFonts w:ascii="Bookman Old Style" w:hAnsi="Bookman Old Style"/>
        </w:rPr>
      </w:pPr>
    </w:p>
    <w:p w14:paraId="2089804B" w14:textId="77777777" w:rsidR="008A7D38" w:rsidRPr="00746F55" w:rsidRDefault="008A7D38" w:rsidP="00702E9D">
      <w:pPr>
        <w:pStyle w:val="Default"/>
        <w:jc w:val="both"/>
        <w:rPr>
          <w:rFonts w:ascii="Bookman Old Style" w:hAnsi="Bookman Old Style"/>
        </w:rPr>
      </w:pPr>
      <w:r w:rsidRPr="00746F55">
        <w:rPr>
          <w:rFonts w:ascii="Bookman Old Style" w:hAnsi="Bookman Old Style"/>
        </w:rPr>
        <w:t xml:space="preserve">Esta omisión no es meramente técnica: deslegitima la declaración de utilidad pública de los proyectos energéticos y cuestiona gravemente la legalidad de los procesos expropiatorios que pudieran derivarse, al no </w:t>
      </w:r>
      <w:r w:rsidRPr="00746F55">
        <w:rPr>
          <w:rFonts w:ascii="Bookman Old Style" w:hAnsi="Bookman Old Style"/>
        </w:rPr>
        <w:lastRenderedPageBreak/>
        <w:t>existir criterios objetivos que justifiquen la elección de unos terrenos sobre otros.</w:t>
      </w:r>
    </w:p>
    <w:p w14:paraId="7801B69C" w14:textId="77777777" w:rsidR="00702E9D" w:rsidRDefault="00702E9D" w:rsidP="00702E9D">
      <w:pPr>
        <w:pStyle w:val="Default"/>
        <w:jc w:val="both"/>
        <w:rPr>
          <w:rFonts w:ascii="Bookman Old Style" w:hAnsi="Bookman Old Style"/>
        </w:rPr>
      </w:pPr>
    </w:p>
    <w:p w14:paraId="74C770DC" w14:textId="77777777" w:rsidR="00702E9D" w:rsidRPr="00746F55" w:rsidRDefault="00702E9D" w:rsidP="00702E9D">
      <w:pPr>
        <w:pStyle w:val="Default"/>
        <w:jc w:val="both"/>
        <w:rPr>
          <w:rFonts w:ascii="Bookman Old Style" w:hAnsi="Bookman Old Style"/>
        </w:rPr>
      </w:pPr>
    </w:p>
    <w:p w14:paraId="69444396" w14:textId="2B4A42C4" w:rsidR="00DA5008" w:rsidRPr="008902D8" w:rsidRDefault="00DA5008" w:rsidP="009A1CBB">
      <w:pPr>
        <w:pStyle w:val="Default"/>
        <w:numPr>
          <w:ilvl w:val="0"/>
          <w:numId w:val="3"/>
        </w:numPr>
        <w:spacing w:after="240"/>
        <w:ind w:left="567" w:hanging="567"/>
        <w:rPr>
          <w:rFonts w:ascii="Bookman Old Style" w:hAnsi="Bookman Old Style"/>
          <w:b/>
        </w:rPr>
      </w:pPr>
      <w:r w:rsidRPr="008902D8">
        <w:rPr>
          <w:rFonts w:ascii="Bookman Old Style" w:hAnsi="Bookman Old Style"/>
          <w:b/>
          <w:caps/>
        </w:rPr>
        <w:t>Violación de normativa ambiental</w:t>
      </w:r>
    </w:p>
    <w:p w14:paraId="44366B56" w14:textId="77777777" w:rsidR="00DA5008" w:rsidRPr="00DA5008" w:rsidRDefault="00DA5008" w:rsidP="00702E9D">
      <w:pPr>
        <w:pStyle w:val="Default"/>
        <w:jc w:val="both"/>
        <w:rPr>
          <w:rFonts w:ascii="Bookman Old Style" w:hAnsi="Bookman Old Style"/>
          <w:b/>
          <w:bCs/>
        </w:rPr>
      </w:pPr>
      <w:r w:rsidRPr="00DA5008">
        <w:rPr>
          <w:rFonts w:ascii="Bookman Old Style" w:hAnsi="Bookman Old Style"/>
        </w:rPr>
        <w:t>La Directiva (UE) 2023/2413 del Parlamento Europeo y del Consejo, de 18 de octubre (DER III) solicita “mayor simplificación y acortamiento de los procedimientos administrativos” relativos a los proyectos de energías renovables; pero en ningún caso indica que para lograrlo se violen normativas relativas a la evaluación de los impactos de los proyectos (artículo 6.2. de la Directiva 2011/92/UE del Parlamento Europeo y del Consejo de 13 de diciembre de 2011), a la información y participación en la toma de decisiones en materia ambiental (Convenio de Aarhus).</w:t>
      </w:r>
    </w:p>
    <w:p w14:paraId="76C09BC7" w14:textId="77777777" w:rsidR="00DA5008" w:rsidRPr="00DA5008" w:rsidRDefault="00DA5008" w:rsidP="008A7D38">
      <w:pPr>
        <w:pStyle w:val="Default"/>
        <w:jc w:val="both"/>
        <w:rPr>
          <w:rFonts w:ascii="Bookman Old Style" w:hAnsi="Bookman Old Style"/>
          <w:b/>
          <w:bCs/>
        </w:rPr>
      </w:pPr>
    </w:p>
    <w:p w14:paraId="562523D1" w14:textId="77777777" w:rsidR="00DA5008" w:rsidRPr="00006380" w:rsidRDefault="00006380" w:rsidP="00702E9D">
      <w:pPr>
        <w:pStyle w:val="Default"/>
        <w:jc w:val="both"/>
        <w:rPr>
          <w:rFonts w:ascii="Bookman Old Style" w:hAnsi="Bookman Old Style"/>
          <w:bCs/>
        </w:rPr>
      </w:pPr>
      <w:r w:rsidRPr="00006380">
        <w:rPr>
          <w:rFonts w:ascii="Bookman Old Style" w:hAnsi="Bookman Old Style"/>
          <w:bCs/>
        </w:rPr>
        <w:t>Es más, todas las medidas contenidas en la Directiva</w:t>
      </w:r>
      <w:r>
        <w:rPr>
          <w:rFonts w:ascii="Bookman Old Style" w:hAnsi="Bookman Old Style"/>
          <w:bCs/>
        </w:rPr>
        <w:t xml:space="preserve"> UE 2023/2413</w:t>
      </w:r>
      <w:r w:rsidRPr="00006380">
        <w:rPr>
          <w:rFonts w:ascii="Bookman Old Style" w:hAnsi="Bookman Old Style"/>
          <w:bCs/>
        </w:rPr>
        <w:t>, relativ</w:t>
      </w:r>
      <w:r>
        <w:rPr>
          <w:rFonts w:ascii="Bookman Old Style" w:hAnsi="Bookman Old Style"/>
          <w:bCs/>
        </w:rPr>
        <w:t>a</w:t>
      </w:r>
      <w:r w:rsidRPr="00006380">
        <w:rPr>
          <w:rFonts w:ascii="Bookman Old Style" w:hAnsi="Bookman Old Style"/>
          <w:bCs/>
        </w:rPr>
        <w:t xml:space="preserve">s a la reducción de plazos e incluso la exención de evaluación ambiental, </w:t>
      </w:r>
      <w:r>
        <w:rPr>
          <w:rFonts w:ascii="Bookman Old Style" w:hAnsi="Bookman Old Style"/>
          <w:bCs/>
        </w:rPr>
        <w:t xml:space="preserve">para favorecer el despliegue de renovales, se establecen </w:t>
      </w:r>
      <w:r w:rsidRPr="00006380">
        <w:rPr>
          <w:rFonts w:ascii="Bookman Old Style" w:hAnsi="Bookman Old Style"/>
          <w:bCs/>
        </w:rPr>
        <w:t>desde la premisa de que se lleve a ca</w:t>
      </w:r>
      <w:r>
        <w:rPr>
          <w:rFonts w:ascii="Bookman Old Style" w:hAnsi="Bookman Old Style"/>
          <w:bCs/>
        </w:rPr>
        <w:t>b</w:t>
      </w:r>
      <w:r w:rsidRPr="00006380">
        <w:rPr>
          <w:rFonts w:ascii="Bookman Old Style" w:hAnsi="Bookman Old Style"/>
          <w:bCs/>
        </w:rPr>
        <w:t xml:space="preserve">o </w:t>
      </w:r>
      <w:r>
        <w:rPr>
          <w:rFonts w:ascii="Bookman Old Style" w:hAnsi="Bookman Old Style"/>
          <w:bCs/>
        </w:rPr>
        <w:t xml:space="preserve">una </w:t>
      </w:r>
      <w:r w:rsidRPr="00006380">
        <w:rPr>
          <w:rFonts w:ascii="Bookman Old Style" w:hAnsi="Bookman Old Style"/>
          <w:bCs/>
        </w:rPr>
        <w:t>pla</w:t>
      </w:r>
      <w:r>
        <w:rPr>
          <w:rFonts w:ascii="Bookman Old Style" w:hAnsi="Bookman Old Style"/>
          <w:bCs/>
        </w:rPr>
        <w:t>nificació</w:t>
      </w:r>
      <w:r w:rsidRPr="00006380">
        <w:rPr>
          <w:rFonts w:ascii="Bookman Old Style" w:hAnsi="Bookman Old Style"/>
          <w:bCs/>
        </w:rPr>
        <w:t>n previ</w:t>
      </w:r>
      <w:r>
        <w:rPr>
          <w:rFonts w:ascii="Bookman Old Style" w:hAnsi="Bookman Old Style"/>
          <w:bCs/>
        </w:rPr>
        <w:t>a de las zonas de aceleración de renovables</w:t>
      </w:r>
      <w:r w:rsidRPr="00006380">
        <w:rPr>
          <w:rFonts w:ascii="Bookman Old Style" w:hAnsi="Bookman Old Style"/>
          <w:bCs/>
        </w:rPr>
        <w:t xml:space="preserve">, </w:t>
      </w:r>
      <w:r>
        <w:rPr>
          <w:rFonts w:ascii="Bookman Old Style" w:hAnsi="Bookman Old Style"/>
          <w:bCs/>
        </w:rPr>
        <w:t xml:space="preserve">planificación </w:t>
      </w:r>
      <w:r w:rsidRPr="00006380">
        <w:rPr>
          <w:rFonts w:ascii="Bookman Old Style" w:hAnsi="Bookman Old Style"/>
          <w:bCs/>
        </w:rPr>
        <w:t>que el rei</w:t>
      </w:r>
      <w:r>
        <w:rPr>
          <w:rFonts w:ascii="Bookman Old Style" w:hAnsi="Bookman Old Style"/>
          <w:bCs/>
        </w:rPr>
        <w:t>n</w:t>
      </w:r>
      <w:r w:rsidRPr="00006380">
        <w:rPr>
          <w:rFonts w:ascii="Bookman Old Style" w:hAnsi="Bookman Old Style"/>
          <w:bCs/>
        </w:rPr>
        <w:t xml:space="preserve">o de España </w:t>
      </w:r>
      <w:r>
        <w:rPr>
          <w:rFonts w:ascii="Bookman Old Style" w:hAnsi="Bookman Old Style"/>
          <w:bCs/>
        </w:rPr>
        <w:t>n</w:t>
      </w:r>
      <w:r w:rsidRPr="00006380">
        <w:rPr>
          <w:rFonts w:ascii="Bookman Old Style" w:hAnsi="Bookman Old Style"/>
          <w:bCs/>
        </w:rPr>
        <w:t>o ha llevado a ca</w:t>
      </w:r>
      <w:r>
        <w:rPr>
          <w:rFonts w:ascii="Bookman Old Style" w:hAnsi="Bookman Old Style"/>
          <w:bCs/>
        </w:rPr>
        <w:t>b</w:t>
      </w:r>
      <w:r w:rsidRPr="00006380">
        <w:rPr>
          <w:rFonts w:ascii="Bookman Old Style" w:hAnsi="Bookman Old Style"/>
          <w:bCs/>
        </w:rPr>
        <w:t xml:space="preserve">o y por tanto todas esas medidas </w:t>
      </w:r>
      <w:r>
        <w:rPr>
          <w:rFonts w:ascii="Bookman Old Style" w:hAnsi="Bookman Old Style"/>
          <w:bCs/>
        </w:rPr>
        <w:t xml:space="preserve">contenidas en el Proyecto de Real Decreto están </w:t>
      </w:r>
      <w:r w:rsidRPr="00006380">
        <w:rPr>
          <w:rFonts w:ascii="Bookman Old Style" w:hAnsi="Bookman Old Style"/>
          <w:bCs/>
        </w:rPr>
        <w:t xml:space="preserve">deslegitimadas </w:t>
      </w:r>
      <w:r>
        <w:rPr>
          <w:rFonts w:ascii="Bookman Old Style" w:hAnsi="Bookman Old Style"/>
          <w:bCs/>
        </w:rPr>
        <w:t>por la propia Directiva.</w:t>
      </w:r>
      <w:r w:rsidRPr="00006380">
        <w:rPr>
          <w:rFonts w:ascii="Bookman Old Style" w:hAnsi="Bookman Old Style"/>
          <w:bCs/>
        </w:rPr>
        <w:t xml:space="preserve"> </w:t>
      </w:r>
    </w:p>
    <w:p w14:paraId="08F0B695" w14:textId="77777777" w:rsidR="00702E9D" w:rsidRDefault="00702E9D" w:rsidP="00702E9D">
      <w:pPr>
        <w:pStyle w:val="Default"/>
        <w:jc w:val="both"/>
        <w:rPr>
          <w:rFonts w:ascii="Bookman Old Style" w:hAnsi="Bookman Old Style"/>
        </w:rPr>
      </w:pPr>
    </w:p>
    <w:p w14:paraId="159922E9" w14:textId="77777777" w:rsidR="00702E9D" w:rsidRPr="00746F55" w:rsidRDefault="00702E9D" w:rsidP="00702E9D">
      <w:pPr>
        <w:pStyle w:val="Default"/>
        <w:jc w:val="both"/>
        <w:rPr>
          <w:rFonts w:ascii="Bookman Old Style" w:hAnsi="Bookman Old Style"/>
        </w:rPr>
      </w:pPr>
    </w:p>
    <w:p w14:paraId="36042EF1" w14:textId="68EC8938" w:rsidR="00057404" w:rsidRPr="00696312" w:rsidRDefault="00696312" w:rsidP="009A1CBB">
      <w:pPr>
        <w:pStyle w:val="Default"/>
        <w:numPr>
          <w:ilvl w:val="0"/>
          <w:numId w:val="3"/>
        </w:numPr>
        <w:spacing w:after="240"/>
        <w:ind w:left="567" w:hanging="567"/>
        <w:jc w:val="both"/>
        <w:rPr>
          <w:rFonts w:ascii="Bookman Old Style" w:hAnsi="Bookman Old Style"/>
          <w:b/>
          <w:caps/>
          <w:szCs w:val="32"/>
        </w:rPr>
      </w:pPr>
      <w:r>
        <w:rPr>
          <w:rFonts w:ascii="Bookman Old Style" w:hAnsi="Bookman Old Style"/>
          <w:b/>
          <w:caps/>
          <w:szCs w:val="32"/>
        </w:rPr>
        <w:t>Graves riesgos en los proyectos de almacenamiento</w:t>
      </w:r>
    </w:p>
    <w:p w14:paraId="1091753B" w14:textId="77777777" w:rsidR="00BD531F" w:rsidRDefault="00057404" w:rsidP="00702E9D">
      <w:pPr>
        <w:pStyle w:val="Default"/>
        <w:jc w:val="both"/>
        <w:rPr>
          <w:rFonts w:ascii="Bookman Old Style" w:hAnsi="Bookman Old Style"/>
        </w:rPr>
      </w:pPr>
      <w:r w:rsidRPr="00057404">
        <w:rPr>
          <w:rFonts w:ascii="Bookman Old Style" w:hAnsi="Bookman Old Style"/>
        </w:rPr>
        <w:t>Eximir de evaluación ambiental a los proyectos de almacenamiento viola los principios básicos de “precaución y acción cautelar” (artículo 2 de la Ley 21/2013), de 9 de diciembre, de evaluación ambiental) y su equivalente europeo de “</w:t>
      </w:r>
      <w:r w:rsidRPr="00057404">
        <w:rPr>
          <w:rFonts w:ascii="Bookman Old Style" w:hAnsi="Bookman Old Style"/>
          <w:color w:val="323232"/>
        </w:rPr>
        <w:t>cautela y de acción preventiva” (</w:t>
      </w:r>
      <w:r w:rsidRPr="00057404">
        <w:rPr>
          <w:rFonts w:ascii="Bookman Old Style" w:hAnsi="Bookman Old Style"/>
        </w:rPr>
        <w:t xml:space="preserve">Tratado de Funcionamiento de la Unión Europea / Tratado de </w:t>
      </w:r>
      <w:proofErr w:type="spellStart"/>
      <w:r w:rsidRPr="00057404">
        <w:rPr>
          <w:rFonts w:ascii="Bookman Old Style" w:hAnsi="Bookman Old Style"/>
        </w:rPr>
        <w:t>Amsterdam</w:t>
      </w:r>
      <w:proofErr w:type="spellEnd"/>
      <w:r w:rsidRPr="00057404">
        <w:rPr>
          <w:rFonts w:ascii="Bookman Old Style" w:hAnsi="Bookman Old Style"/>
          <w:color w:val="323232"/>
        </w:rPr>
        <w:t>)</w:t>
      </w:r>
      <w:r w:rsidRPr="00057404">
        <w:rPr>
          <w:rFonts w:ascii="Bookman Old Style" w:hAnsi="Bookman Old Style"/>
        </w:rPr>
        <w:t>.</w:t>
      </w:r>
    </w:p>
    <w:p w14:paraId="374B046B" w14:textId="77777777" w:rsidR="00BD531F" w:rsidRDefault="00BD531F" w:rsidP="00696312">
      <w:pPr>
        <w:pStyle w:val="Default"/>
        <w:ind w:firstLine="708"/>
        <w:jc w:val="both"/>
        <w:rPr>
          <w:rFonts w:ascii="Bookman Old Style" w:hAnsi="Bookman Old Style"/>
        </w:rPr>
      </w:pPr>
    </w:p>
    <w:p w14:paraId="53F54840" w14:textId="555912D8" w:rsidR="00BD531F" w:rsidRDefault="00057404" w:rsidP="00702E9D">
      <w:pPr>
        <w:pStyle w:val="Default"/>
        <w:jc w:val="both"/>
        <w:rPr>
          <w:rFonts w:ascii="Bookman Old Style" w:hAnsi="Bookman Old Style"/>
        </w:rPr>
      </w:pPr>
      <w:r w:rsidRPr="00057404">
        <w:rPr>
          <w:rFonts w:ascii="Bookman Old Style" w:hAnsi="Bookman Old Style"/>
        </w:rPr>
        <w:t>Afirmar que la declaración de impacto ambiental favorable obtenida por una instalación fotovoltaica o eólica puede extenderse sin más a la inclusión de infraestructura de almacenamiento es actuar fuera de la ciencia y del derecho ciudadano a contar “con el mejor conocimiento disponible” (artículo 2 de la Ley 21/2013), impide “cuantificar y analizar posibles efectos significativos….así como la vulnerabilidad del proyecto ante riesgo de accidentes graves o catástrofes” (artículo 5 de la Ley 21/2013, de 9 de diciembre, de evaluación ambiental ).</w:t>
      </w:r>
    </w:p>
    <w:p w14:paraId="03E18EC1" w14:textId="77777777" w:rsidR="00BD531F" w:rsidRDefault="00BD531F" w:rsidP="00696312">
      <w:pPr>
        <w:pStyle w:val="Default"/>
        <w:ind w:firstLine="708"/>
        <w:jc w:val="both"/>
        <w:rPr>
          <w:rFonts w:ascii="Bookman Old Style" w:hAnsi="Bookman Old Style"/>
        </w:rPr>
      </w:pPr>
    </w:p>
    <w:p w14:paraId="7F2E2ADF" w14:textId="6B766831" w:rsidR="00057404" w:rsidRDefault="00057404" w:rsidP="00702E9D">
      <w:pPr>
        <w:pStyle w:val="Default"/>
        <w:jc w:val="both"/>
        <w:rPr>
          <w:rFonts w:ascii="Bookman Old Style" w:hAnsi="Bookman Old Style"/>
        </w:rPr>
      </w:pPr>
      <w:r w:rsidRPr="00057404">
        <w:rPr>
          <w:rFonts w:ascii="Bookman Old Style" w:hAnsi="Bookman Old Style"/>
        </w:rPr>
        <w:t>Es inadmisible que se habilite a desarrollar proyectos de almacenamientos sin que se evalúen riesgos de incendio (a), explosión (b), contaminación</w:t>
      </w:r>
      <w:r w:rsidR="00702E9D">
        <w:rPr>
          <w:rFonts w:ascii="Bookman Old Style" w:hAnsi="Bookman Old Style"/>
        </w:rPr>
        <w:t xml:space="preserve"> (c)</w:t>
      </w:r>
      <w:r w:rsidRPr="00057404">
        <w:rPr>
          <w:rFonts w:ascii="Bookman Old Style" w:hAnsi="Bookman Old Style"/>
        </w:rPr>
        <w:t xml:space="preserve"> y que no se exijan medidas de prevención/mitigación (d)</w:t>
      </w:r>
      <w:r w:rsidR="00702E9D">
        <w:rPr>
          <w:rFonts w:ascii="Bookman Old Style" w:hAnsi="Bookman Old Style"/>
        </w:rPr>
        <w:t>,</w:t>
      </w:r>
      <w:r w:rsidRPr="00057404">
        <w:rPr>
          <w:rFonts w:ascii="Bookman Old Style" w:hAnsi="Bookman Old Style"/>
        </w:rPr>
        <w:t xml:space="preserve"> previo a su puesta en marcha.</w:t>
      </w:r>
    </w:p>
    <w:p w14:paraId="3887FE23" w14:textId="77777777" w:rsidR="00702E9D" w:rsidRDefault="00702E9D" w:rsidP="00702E9D">
      <w:pPr>
        <w:pStyle w:val="Default"/>
        <w:jc w:val="both"/>
        <w:rPr>
          <w:rFonts w:ascii="Bookman Old Style" w:hAnsi="Bookman Old Style"/>
        </w:rPr>
      </w:pPr>
    </w:p>
    <w:p w14:paraId="542D5290" w14:textId="77777777" w:rsidR="00702E9D" w:rsidRPr="00746F55" w:rsidRDefault="00702E9D" w:rsidP="00702E9D">
      <w:pPr>
        <w:pStyle w:val="Default"/>
        <w:jc w:val="both"/>
        <w:rPr>
          <w:rFonts w:ascii="Bookman Old Style" w:hAnsi="Bookman Old Style"/>
        </w:rPr>
      </w:pPr>
    </w:p>
    <w:p w14:paraId="0905E991" w14:textId="77777777" w:rsidR="009A1CBB" w:rsidRDefault="009A1CBB">
      <w:pPr>
        <w:spacing w:after="160" w:line="259" w:lineRule="auto"/>
        <w:rPr>
          <w:rFonts w:ascii="Bookman Old Style" w:hAnsi="Bookman Old Style" w:cs="Cambria"/>
          <w:b/>
          <w:caps/>
          <w:color w:val="000000"/>
          <w:sz w:val="24"/>
          <w:szCs w:val="32"/>
          <w:lang w:eastAsia="es-ES"/>
        </w:rPr>
      </w:pPr>
      <w:r>
        <w:rPr>
          <w:rFonts w:ascii="Bookman Old Style" w:hAnsi="Bookman Old Style"/>
          <w:b/>
          <w:caps/>
          <w:szCs w:val="32"/>
        </w:rPr>
        <w:br w:type="page"/>
      </w:r>
    </w:p>
    <w:p w14:paraId="145D7547" w14:textId="13F3BF7D" w:rsidR="00A019CE" w:rsidRPr="00BD531F" w:rsidRDefault="00A019CE" w:rsidP="009A1CBB">
      <w:pPr>
        <w:pStyle w:val="Default"/>
        <w:numPr>
          <w:ilvl w:val="0"/>
          <w:numId w:val="3"/>
        </w:numPr>
        <w:spacing w:after="240"/>
        <w:ind w:left="567" w:hanging="567"/>
        <w:rPr>
          <w:rFonts w:ascii="Bookman Old Style" w:hAnsi="Bookman Old Style"/>
          <w:b/>
          <w:caps/>
          <w:szCs w:val="32"/>
        </w:rPr>
      </w:pPr>
      <w:r w:rsidRPr="00BD531F">
        <w:rPr>
          <w:rFonts w:ascii="Bookman Old Style" w:hAnsi="Bookman Old Style"/>
          <w:b/>
          <w:caps/>
          <w:szCs w:val="32"/>
        </w:rPr>
        <w:lastRenderedPageBreak/>
        <w:t>Falsa urgencia y nulo interés público</w:t>
      </w:r>
    </w:p>
    <w:p w14:paraId="31014375" w14:textId="77777777" w:rsidR="00625507" w:rsidRDefault="00625507" w:rsidP="00702E9D">
      <w:pPr>
        <w:pStyle w:val="Default"/>
        <w:jc w:val="both"/>
        <w:rPr>
          <w:rFonts w:ascii="Bookman Old Style" w:hAnsi="Bookman Old Style"/>
        </w:rPr>
      </w:pPr>
      <w:r>
        <w:rPr>
          <w:rFonts w:ascii="Bookman Old Style" w:hAnsi="Bookman Old Style"/>
        </w:rPr>
        <w:t>L</w:t>
      </w:r>
      <w:r w:rsidR="00A019CE" w:rsidRPr="00A019CE">
        <w:rPr>
          <w:rFonts w:ascii="Bookman Old Style" w:hAnsi="Bookman Old Style"/>
        </w:rPr>
        <w:t xml:space="preserve">a Administración General del Estado </w:t>
      </w:r>
      <w:r>
        <w:rPr>
          <w:rFonts w:ascii="Bookman Old Style" w:hAnsi="Bookman Old Style"/>
        </w:rPr>
        <w:t xml:space="preserve">tiene que establecer </w:t>
      </w:r>
      <w:r w:rsidR="00A019CE" w:rsidRPr="00A019CE">
        <w:rPr>
          <w:rFonts w:ascii="Bookman Old Style" w:hAnsi="Bookman Old Style"/>
        </w:rPr>
        <w:t xml:space="preserve">con claridad y de manera concreta las condiciones para que un proyecto eléctrico cuente con interés público. </w:t>
      </w:r>
    </w:p>
    <w:p w14:paraId="18859C59" w14:textId="77777777" w:rsidR="00625507" w:rsidRDefault="00625507" w:rsidP="009A1CBB">
      <w:pPr>
        <w:pStyle w:val="Default"/>
        <w:jc w:val="both"/>
        <w:rPr>
          <w:rFonts w:ascii="Bookman Old Style" w:hAnsi="Bookman Old Style"/>
        </w:rPr>
      </w:pPr>
    </w:p>
    <w:p w14:paraId="58CBC8B0" w14:textId="77777777" w:rsidR="00DA5008" w:rsidRPr="00A019CE" w:rsidRDefault="00A019CE" w:rsidP="00702E9D">
      <w:pPr>
        <w:pStyle w:val="Default"/>
        <w:jc w:val="both"/>
        <w:rPr>
          <w:rFonts w:ascii="Bookman Old Style" w:hAnsi="Bookman Old Style"/>
          <w:b/>
          <w:bCs/>
        </w:rPr>
      </w:pPr>
      <w:r w:rsidRPr="00A019CE">
        <w:rPr>
          <w:rFonts w:ascii="Bookman Old Style" w:hAnsi="Bookman Old Style"/>
        </w:rPr>
        <w:t xml:space="preserve">Eliminar la evaluación ambiental (Disposición final segunda. Exención de la evaluación ambiental simplificada del almacenamiento hibridado en espacios </w:t>
      </w:r>
      <w:proofErr w:type="spellStart"/>
      <w:r w:rsidRPr="00A019CE">
        <w:rPr>
          <w:rFonts w:ascii="Bookman Old Style" w:hAnsi="Bookman Old Style"/>
        </w:rPr>
        <w:t>antropizados</w:t>
      </w:r>
      <w:proofErr w:type="spellEnd"/>
      <w:r w:rsidRPr="00A019CE">
        <w:rPr>
          <w:rFonts w:ascii="Bookman Old Style" w:hAnsi="Bookman Old Style"/>
        </w:rPr>
        <w:t xml:space="preserve"> ya evaluados) y reducir plazos de información pública son medidas contrarias al interés público ya que afectan los derechos de la ciudadanía a la salud, al medioambiente y a la participación.</w:t>
      </w:r>
    </w:p>
    <w:p w14:paraId="79F0D69F" w14:textId="77777777" w:rsidR="009A1CBB" w:rsidRDefault="009A1CBB" w:rsidP="009A1CBB">
      <w:pPr>
        <w:pStyle w:val="Default"/>
        <w:jc w:val="both"/>
        <w:rPr>
          <w:rFonts w:ascii="Bookman Old Style" w:hAnsi="Bookman Old Style"/>
        </w:rPr>
      </w:pPr>
    </w:p>
    <w:p w14:paraId="27668E98" w14:textId="77777777" w:rsidR="009A1CBB" w:rsidRPr="00746F55" w:rsidRDefault="009A1CBB" w:rsidP="009A1CBB">
      <w:pPr>
        <w:pStyle w:val="Default"/>
        <w:jc w:val="both"/>
        <w:rPr>
          <w:rFonts w:ascii="Bookman Old Style" w:hAnsi="Bookman Old Style"/>
        </w:rPr>
      </w:pPr>
    </w:p>
    <w:p w14:paraId="30C15BD9" w14:textId="50DBE386" w:rsidR="00B97869" w:rsidRDefault="00B97869" w:rsidP="009A1CBB">
      <w:pPr>
        <w:pStyle w:val="Default"/>
        <w:numPr>
          <w:ilvl w:val="0"/>
          <w:numId w:val="3"/>
        </w:numPr>
        <w:spacing w:after="240"/>
        <w:ind w:left="567" w:hanging="567"/>
        <w:jc w:val="both"/>
        <w:rPr>
          <w:rFonts w:ascii="Bookman Old Style" w:hAnsi="Bookman Old Style"/>
          <w:b/>
          <w:caps/>
          <w:color w:val="auto"/>
          <w:szCs w:val="32"/>
        </w:rPr>
      </w:pPr>
      <w:r w:rsidRPr="00625507">
        <w:rPr>
          <w:rFonts w:ascii="Bookman Old Style" w:hAnsi="Bookman Old Style"/>
          <w:b/>
          <w:caps/>
          <w:color w:val="auto"/>
          <w:szCs w:val="32"/>
        </w:rPr>
        <w:t>MOTIVOS ADICIONALES</w:t>
      </w:r>
      <w:r w:rsidR="00702E9D">
        <w:rPr>
          <w:rFonts w:ascii="Bookman Old Style" w:hAnsi="Bookman Old Style"/>
          <w:b/>
          <w:caps/>
          <w:color w:val="auto"/>
          <w:szCs w:val="32"/>
        </w:rPr>
        <w:t>.</w:t>
      </w:r>
    </w:p>
    <w:p w14:paraId="247E06AF" w14:textId="20BB2B84" w:rsidR="00B97869" w:rsidRDefault="00B97869" w:rsidP="00702E9D">
      <w:pPr>
        <w:pStyle w:val="Default"/>
        <w:jc w:val="both"/>
        <w:rPr>
          <w:rFonts w:ascii="Bookman Old Style" w:eastAsia="Noto Color Emoji" w:hAnsi="Bookman Old Style"/>
          <w:color w:val="auto"/>
        </w:rPr>
      </w:pPr>
      <w:r w:rsidRPr="00B97869">
        <w:rPr>
          <w:rFonts w:ascii="Bookman Old Style" w:eastAsia="Noto Color Emoji" w:hAnsi="Bookman Old Style"/>
          <w:color w:val="auto"/>
        </w:rPr>
        <w:t>El marco normativo actual</w:t>
      </w:r>
      <w:r w:rsidR="00625507">
        <w:rPr>
          <w:rFonts w:ascii="Bookman Old Style" w:eastAsia="Noto Color Emoji" w:hAnsi="Bookman Old Style"/>
          <w:color w:val="auto"/>
        </w:rPr>
        <w:t xml:space="preserve"> y que se mantiene,</w:t>
      </w:r>
      <w:r w:rsidRPr="00B97869">
        <w:rPr>
          <w:rFonts w:ascii="Bookman Old Style" w:eastAsia="Noto Color Emoji" w:hAnsi="Bookman Old Style"/>
          <w:color w:val="auto"/>
        </w:rPr>
        <w:t xml:space="preserve"> permite expropiar suelos agrícolas fértiles para </w:t>
      </w:r>
      <w:proofErr w:type="spellStart"/>
      <w:r w:rsidRPr="00B97869">
        <w:rPr>
          <w:rFonts w:ascii="Bookman Old Style" w:eastAsia="Noto Color Emoji" w:hAnsi="Bookman Old Style"/>
          <w:color w:val="auto"/>
        </w:rPr>
        <w:t>macro</w:t>
      </w:r>
      <w:r>
        <w:rPr>
          <w:rFonts w:ascii="Bookman Old Style" w:eastAsia="Noto Color Emoji" w:hAnsi="Bookman Old Style"/>
          <w:color w:val="auto"/>
        </w:rPr>
        <w:t>-</w:t>
      </w:r>
      <w:r w:rsidRPr="00B97869">
        <w:rPr>
          <w:rFonts w:ascii="Bookman Old Style" w:eastAsia="Noto Color Emoji" w:hAnsi="Bookman Old Style"/>
          <w:color w:val="auto"/>
        </w:rPr>
        <w:t>proyectos</w:t>
      </w:r>
      <w:proofErr w:type="spellEnd"/>
      <w:r w:rsidRPr="00B97869">
        <w:rPr>
          <w:rFonts w:ascii="Bookman Old Style" w:eastAsia="Noto Color Emoji" w:hAnsi="Bookman Old Style"/>
          <w:color w:val="auto"/>
        </w:rPr>
        <w:t xml:space="preserve"> energéticos privados.</w:t>
      </w:r>
    </w:p>
    <w:p w14:paraId="11D32611" w14:textId="77777777" w:rsidR="00625507" w:rsidRPr="00B97869" w:rsidRDefault="00625507" w:rsidP="009A1CBB">
      <w:pPr>
        <w:pStyle w:val="Default"/>
        <w:jc w:val="both"/>
        <w:rPr>
          <w:rFonts w:ascii="Bookman Old Style" w:eastAsia="Noto Color Emoji" w:hAnsi="Bookman Old Style"/>
          <w:color w:val="auto"/>
        </w:rPr>
      </w:pPr>
    </w:p>
    <w:p w14:paraId="6C682062" w14:textId="6FBC2A99" w:rsidR="00B97869" w:rsidRDefault="00B97869" w:rsidP="00702E9D">
      <w:pPr>
        <w:pStyle w:val="Default"/>
        <w:jc w:val="both"/>
        <w:rPr>
          <w:rFonts w:ascii="Bookman Old Style" w:eastAsia="Noto Color Emoji" w:hAnsi="Bookman Old Style"/>
          <w:color w:val="auto"/>
        </w:rPr>
      </w:pPr>
      <w:r w:rsidRPr="00B97869">
        <w:rPr>
          <w:rFonts w:ascii="Bookman Old Style" w:eastAsia="Noto Color Emoji" w:hAnsi="Bookman Old Style"/>
          <w:color w:val="auto"/>
        </w:rPr>
        <w:t>Se vulnera el derecho a una alimentación s</w:t>
      </w:r>
      <w:r>
        <w:rPr>
          <w:rFonts w:ascii="Bookman Old Style" w:eastAsia="Noto Color Emoji" w:hAnsi="Bookman Old Style"/>
          <w:color w:val="auto"/>
        </w:rPr>
        <w:t>ostenible y al desarrollo rural, comprometiendo la soberanía alimentaria.</w:t>
      </w:r>
    </w:p>
    <w:p w14:paraId="71AF3101" w14:textId="77777777" w:rsidR="00625507" w:rsidRPr="00B97869" w:rsidRDefault="00625507" w:rsidP="009A1CBB">
      <w:pPr>
        <w:pStyle w:val="Default"/>
        <w:jc w:val="both"/>
        <w:rPr>
          <w:rFonts w:ascii="Bookman Old Style" w:eastAsia="Noto Color Emoji" w:hAnsi="Bookman Old Style"/>
          <w:color w:val="auto"/>
        </w:rPr>
      </w:pPr>
    </w:p>
    <w:p w14:paraId="68F7F8A9" w14:textId="3D68922A" w:rsidR="00A019CE" w:rsidRPr="00B97869" w:rsidRDefault="00B97869" w:rsidP="00702E9D">
      <w:pPr>
        <w:pStyle w:val="Default"/>
        <w:jc w:val="both"/>
        <w:rPr>
          <w:rFonts w:ascii="Bookman Old Style" w:eastAsia="Noto Color Emoji" w:hAnsi="Bookman Old Style"/>
          <w:color w:val="auto"/>
        </w:rPr>
      </w:pPr>
      <w:r w:rsidRPr="00B97869">
        <w:rPr>
          <w:rFonts w:ascii="Bookman Old Style" w:eastAsia="Noto Color Emoji" w:hAnsi="Bookman Old Style"/>
          <w:color w:val="auto"/>
        </w:rPr>
        <w:t xml:space="preserve">Se </w:t>
      </w:r>
      <w:r>
        <w:rPr>
          <w:rFonts w:ascii="Bookman Old Style" w:eastAsia="Noto Color Emoji" w:hAnsi="Bookman Old Style"/>
          <w:color w:val="auto"/>
        </w:rPr>
        <w:t xml:space="preserve">vulnera </w:t>
      </w:r>
      <w:r w:rsidRPr="00B97869">
        <w:rPr>
          <w:rFonts w:ascii="Bookman Old Style" w:eastAsia="Noto Color Emoji" w:hAnsi="Bookman Old Style"/>
          <w:color w:val="auto"/>
        </w:rPr>
        <w:t>el derecho constitucional a la propiedad privada y al medio ambiente sano.</w:t>
      </w:r>
    </w:p>
    <w:p w14:paraId="1FDDB8CF" w14:textId="77777777" w:rsidR="00702E9D" w:rsidRDefault="00702E9D" w:rsidP="00702E9D">
      <w:pPr>
        <w:pStyle w:val="Default"/>
        <w:jc w:val="both"/>
        <w:rPr>
          <w:rFonts w:ascii="Bookman Old Style" w:hAnsi="Bookman Old Style"/>
        </w:rPr>
      </w:pPr>
    </w:p>
    <w:p w14:paraId="18079818" w14:textId="77777777" w:rsidR="00702E9D" w:rsidRPr="00746F55" w:rsidRDefault="00702E9D" w:rsidP="00702E9D">
      <w:pPr>
        <w:pStyle w:val="Default"/>
        <w:jc w:val="both"/>
        <w:rPr>
          <w:rFonts w:ascii="Bookman Old Style" w:hAnsi="Bookman Old Style"/>
        </w:rPr>
      </w:pPr>
    </w:p>
    <w:p w14:paraId="283AD729" w14:textId="7AFCDC7D" w:rsidR="008A7D38" w:rsidRDefault="008A7D38" w:rsidP="009A1CBB">
      <w:pPr>
        <w:pStyle w:val="Default"/>
        <w:numPr>
          <w:ilvl w:val="0"/>
          <w:numId w:val="3"/>
        </w:numPr>
        <w:spacing w:after="240"/>
        <w:ind w:left="567" w:hanging="567"/>
        <w:jc w:val="both"/>
        <w:rPr>
          <w:rFonts w:ascii="Bookman Old Style" w:hAnsi="Bookman Old Style"/>
          <w:b/>
          <w:bCs/>
        </w:rPr>
      </w:pPr>
      <w:r w:rsidRPr="00746F55">
        <w:rPr>
          <w:rFonts w:ascii="Bookman Old Style" w:hAnsi="Bookman Old Style"/>
          <w:b/>
          <w:bCs/>
        </w:rPr>
        <w:t>VULNERACIÓN DEL DERECHO A LA PARTICIPACIÓN PÚBLICA EFECTIVA</w:t>
      </w:r>
    </w:p>
    <w:p w14:paraId="2E67045F" w14:textId="77777777" w:rsidR="008A7D38" w:rsidRDefault="008A7D38" w:rsidP="00702E9D">
      <w:pPr>
        <w:pStyle w:val="Default"/>
        <w:jc w:val="both"/>
        <w:rPr>
          <w:rFonts w:ascii="Bookman Old Style" w:hAnsi="Bookman Old Style"/>
        </w:rPr>
      </w:pPr>
      <w:r w:rsidRPr="00746F55">
        <w:rPr>
          <w:rFonts w:ascii="Bookman Old Style" w:hAnsi="Bookman Old Style"/>
        </w:rPr>
        <w:t>El proyecto</w:t>
      </w:r>
      <w:r w:rsidR="00177937">
        <w:rPr>
          <w:rFonts w:ascii="Bookman Old Style" w:hAnsi="Bookman Old Style"/>
        </w:rPr>
        <w:t xml:space="preserve"> de Real Decreto</w:t>
      </w:r>
      <w:r w:rsidRPr="00746F55">
        <w:rPr>
          <w:rFonts w:ascii="Bookman Old Style" w:hAnsi="Bookman Old Style"/>
        </w:rPr>
        <w:t xml:space="preserve"> propone, entre otras medidas, la </w:t>
      </w:r>
      <w:r w:rsidRPr="00746F55">
        <w:rPr>
          <w:rFonts w:ascii="Bookman Old Style" w:hAnsi="Bookman Old Style"/>
          <w:b/>
          <w:bCs/>
        </w:rPr>
        <w:t>reducción de plazos legales a la mitad</w:t>
      </w:r>
      <w:r w:rsidRPr="00746F55">
        <w:rPr>
          <w:rFonts w:ascii="Bookman Old Style" w:hAnsi="Bookman Old Style"/>
        </w:rPr>
        <w:t xml:space="preserve">, en procedimientos como la autorización administrativa previa y de construcción (artículo 6), así como la exención del trámite de evaluación ambiental simplificada en casos de almacenamiento hibridado sobre terrenos previamente </w:t>
      </w:r>
      <w:proofErr w:type="spellStart"/>
      <w:r w:rsidRPr="00746F55">
        <w:rPr>
          <w:rFonts w:ascii="Bookman Old Style" w:hAnsi="Bookman Old Style"/>
        </w:rPr>
        <w:t>antropizados</w:t>
      </w:r>
      <w:proofErr w:type="spellEnd"/>
      <w:r w:rsidRPr="00746F55">
        <w:rPr>
          <w:rFonts w:ascii="Bookman Old Style" w:hAnsi="Bookman Old Style"/>
        </w:rPr>
        <w:t>.</w:t>
      </w:r>
    </w:p>
    <w:p w14:paraId="411F8B40" w14:textId="77777777" w:rsidR="008A7D38" w:rsidRPr="00746F55" w:rsidRDefault="008A7D38" w:rsidP="008A7D38">
      <w:pPr>
        <w:pStyle w:val="Default"/>
        <w:jc w:val="both"/>
        <w:rPr>
          <w:rFonts w:ascii="Bookman Old Style" w:hAnsi="Bookman Old Style"/>
        </w:rPr>
      </w:pPr>
    </w:p>
    <w:p w14:paraId="722DEED0" w14:textId="04BEE24E" w:rsidR="008A7D38" w:rsidRDefault="008A7D38" w:rsidP="00702E9D">
      <w:pPr>
        <w:pStyle w:val="Default"/>
        <w:jc w:val="both"/>
        <w:rPr>
          <w:rFonts w:ascii="Bookman Old Style" w:hAnsi="Bookman Old Style"/>
        </w:rPr>
      </w:pPr>
      <w:r w:rsidRPr="00746F55">
        <w:rPr>
          <w:rFonts w:ascii="Bookman Old Style" w:hAnsi="Bookman Old Style"/>
        </w:rPr>
        <w:t xml:space="preserve">Estas medidas limitan gravemente la capacidad de las personas y colectivos afectados para ejercer su derecho de participación, consagrado en el artículo 23.1 de la Constitución y </w:t>
      </w:r>
      <w:r w:rsidRPr="003F19C2">
        <w:rPr>
          <w:rFonts w:ascii="Bookman Old Style" w:hAnsi="Bookman Old Style"/>
        </w:rPr>
        <w:t>vulnera el Convenio de Aarhus, ratificado por España, así como la Directiva 2011/92/UE sobre evaluación de impacto ambiental, modificada por la Directiva 2014/52/UE, que exige procedimientos adecuados, públicos y transparentes para proyectos que puedan afectar al medio ambiente</w:t>
      </w:r>
      <w:r w:rsidRPr="00746F55">
        <w:rPr>
          <w:rFonts w:ascii="Bookman Old Style" w:hAnsi="Bookman Old Style"/>
        </w:rPr>
        <w:t>.</w:t>
      </w:r>
    </w:p>
    <w:p w14:paraId="672F9639" w14:textId="77777777" w:rsidR="00177937" w:rsidRDefault="00177937" w:rsidP="00177937">
      <w:pPr>
        <w:pStyle w:val="Default"/>
        <w:ind w:firstLine="708"/>
        <w:jc w:val="both"/>
        <w:rPr>
          <w:rFonts w:ascii="Bookman Old Style" w:hAnsi="Bookman Old Style"/>
        </w:rPr>
      </w:pPr>
    </w:p>
    <w:p w14:paraId="27A301DE" w14:textId="77777777" w:rsidR="008A7D38" w:rsidRDefault="008A7D38" w:rsidP="00702E9D">
      <w:pPr>
        <w:pStyle w:val="Default"/>
        <w:jc w:val="both"/>
        <w:rPr>
          <w:rFonts w:ascii="Bookman Old Style" w:hAnsi="Bookman Old Style"/>
        </w:rPr>
      </w:pPr>
      <w:r w:rsidRPr="00746F55">
        <w:rPr>
          <w:rFonts w:ascii="Bookman Old Style" w:hAnsi="Bookman Old Style"/>
        </w:rPr>
        <w:t>La participación ciudadana no puede concebirse como un obstáculo a la tramitación administrativa, sino como una garantía fundamental del sistema constitucional de libertades.</w:t>
      </w:r>
    </w:p>
    <w:p w14:paraId="7BCF6372" w14:textId="77777777" w:rsidR="00BD67EC" w:rsidRDefault="00BD67EC" w:rsidP="00BD67EC">
      <w:pPr>
        <w:pStyle w:val="Default"/>
        <w:jc w:val="both"/>
        <w:rPr>
          <w:rFonts w:ascii="Bookman Old Style" w:hAnsi="Bookman Old Style"/>
        </w:rPr>
      </w:pPr>
    </w:p>
    <w:p w14:paraId="5E26F9BC" w14:textId="77777777" w:rsidR="00BD67EC" w:rsidRPr="00746F55" w:rsidRDefault="00BD67EC" w:rsidP="00BD67EC">
      <w:pPr>
        <w:pStyle w:val="Default"/>
        <w:jc w:val="both"/>
        <w:rPr>
          <w:rFonts w:ascii="Bookman Old Style" w:hAnsi="Bookman Old Style"/>
        </w:rPr>
      </w:pPr>
    </w:p>
    <w:p w14:paraId="3C2A3B94" w14:textId="77777777" w:rsidR="009A1CBB" w:rsidRDefault="009A1CBB">
      <w:pPr>
        <w:spacing w:after="160" w:line="259" w:lineRule="auto"/>
        <w:rPr>
          <w:rFonts w:ascii="Bookman Old Style" w:hAnsi="Bookman Old Style" w:cs="Cambria"/>
          <w:b/>
          <w:bCs/>
          <w:color w:val="000000"/>
          <w:sz w:val="24"/>
          <w:szCs w:val="24"/>
          <w:lang w:eastAsia="es-ES"/>
        </w:rPr>
      </w:pPr>
      <w:r>
        <w:rPr>
          <w:rFonts w:ascii="Bookman Old Style" w:hAnsi="Bookman Old Style"/>
          <w:b/>
          <w:bCs/>
        </w:rPr>
        <w:br w:type="page"/>
      </w:r>
    </w:p>
    <w:p w14:paraId="7DB80E5A" w14:textId="45ADAC4F" w:rsidR="00BD67EC" w:rsidRDefault="009A1CBB" w:rsidP="009A1CBB">
      <w:pPr>
        <w:pStyle w:val="Default"/>
        <w:numPr>
          <w:ilvl w:val="0"/>
          <w:numId w:val="3"/>
        </w:numPr>
        <w:ind w:left="567" w:hanging="567"/>
        <w:jc w:val="both"/>
        <w:rPr>
          <w:rFonts w:ascii="Bookman Old Style" w:hAnsi="Bookman Old Style"/>
          <w:b/>
          <w:bCs/>
        </w:rPr>
      </w:pPr>
      <w:r>
        <w:rPr>
          <w:rFonts w:ascii="Bookman Old Style" w:hAnsi="Bookman Old Style"/>
          <w:b/>
          <w:bCs/>
        </w:rPr>
        <w:lastRenderedPageBreak/>
        <w:t xml:space="preserve"> </w:t>
      </w:r>
      <w:r w:rsidR="008A7D38" w:rsidRPr="00746F55">
        <w:rPr>
          <w:rFonts w:ascii="Bookman Old Style" w:hAnsi="Bookman Old Style"/>
          <w:b/>
          <w:bCs/>
        </w:rPr>
        <w:t>CONTINUIDAD DE ELEMENTOS DEL RDL 7/2025,</w:t>
      </w:r>
    </w:p>
    <w:p w14:paraId="1D6AA87C" w14:textId="1E6790E3" w:rsidR="008A7D38" w:rsidRDefault="009A1CBB" w:rsidP="009A1CBB">
      <w:pPr>
        <w:pStyle w:val="Default"/>
        <w:spacing w:after="240"/>
        <w:ind w:left="567"/>
        <w:jc w:val="both"/>
        <w:rPr>
          <w:rFonts w:ascii="Bookman Old Style" w:hAnsi="Bookman Old Style"/>
          <w:b/>
          <w:bCs/>
        </w:rPr>
      </w:pPr>
      <w:r>
        <w:rPr>
          <w:rFonts w:ascii="Bookman Old Style" w:hAnsi="Bookman Old Style"/>
          <w:b/>
          <w:bCs/>
        </w:rPr>
        <w:t xml:space="preserve"> </w:t>
      </w:r>
      <w:r w:rsidR="008A7D38" w:rsidRPr="00746F55">
        <w:rPr>
          <w:rFonts w:ascii="Bookman Old Style" w:hAnsi="Bookman Old Style"/>
          <w:b/>
          <w:bCs/>
        </w:rPr>
        <w:t>RECHAZADO POR EL PARLAMENTO</w:t>
      </w:r>
    </w:p>
    <w:p w14:paraId="48FF75D6" w14:textId="18477BBD" w:rsidR="008A7D38" w:rsidRDefault="008A7D38" w:rsidP="00BD67EC">
      <w:pPr>
        <w:pStyle w:val="Default"/>
        <w:jc w:val="both"/>
        <w:rPr>
          <w:rFonts w:ascii="Bookman Old Style" w:hAnsi="Bookman Old Style"/>
        </w:rPr>
      </w:pPr>
      <w:r w:rsidRPr="00746F55">
        <w:rPr>
          <w:rFonts w:ascii="Bookman Old Style" w:hAnsi="Bookman Old Style"/>
        </w:rPr>
        <w:t xml:space="preserve">El presente proyecto reproduce, en muchos de sus extremos esenciales, medidas contenidas en el </w:t>
      </w:r>
      <w:r w:rsidRPr="00746F55">
        <w:rPr>
          <w:rFonts w:ascii="Bookman Old Style" w:hAnsi="Bookman Old Style"/>
          <w:b/>
          <w:bCs/>
        </w:rPr>
        <w:t>RDL 7/2025</w:t>
      </w:r>
      <w:r w:rsidRPr="00746F55">
        <w:rPr>
          <w:rFonts w:ascii="Bookman Old Style" w:hAnsi="Bookman Old Style"/>
        </w:rPr>
        <w:t>, ya rechazado expresamente por el Congreso de los Diputados.</w:t>
      </w:r>
    </w:p>
    <w:p w14:paraId="0B585BA7" w14:textId="77777777" w:rsidR="008A7D38" w:rsidRDefault="008A7D38" w:rsidP="008A7D38">
      <w:pPr>
        <w:pStyle w:val="Default"/>
        <w:jc w:val="both"/>
        <w:rPr>
          <w:rFonts w:ascii="Bookman Old Style" w:hAnsi="Bookman Old Style"/>
        </w:rPr>
      </w:pPr>
    </w:p>
    <w:p w14:paraId="57C0BF07" w14:textId="77777777" w:rsidR="008A7D38" w:rsidRDefault="008A7D38" w:rsidP="00BD67EC">
      <w:pPr>
        <w:pStyle w:val="Default"/>
        <w:jc w:val="both"/>
        <w:rPr>
          <w:rFonts w:ascii="Bookman Old Style" w:hAnsi="Bookman Old Style"/>
        </w:rPr>
      </w:pPr>
      <w:r w:rsidRPr="003F19C2">
        <w:rPr>
          <w:rFonts w:ascii="Bookman Old Style" w:hAnsi="Bookman Old Style"/>
        </w:rPr>
        <w:t xml:space="preserve">El nuevo Proyecto de RD </w:t>
      </w:r>
      <w:r w:rsidRPr="003F19C2">
        <w:rPr>
          <w:rFonts w:ascii="Bookman Old Style" w:hAnsi="Bookman Old Style"/>
          <w:b/>
          <w:bCs/>
        </w:rPr>
        <w:t>mantiene elementos clave del Real Decreto-ley 7/2025</w:t>
      </w:r>
      <w:r w:rsidRPr="003F19C2">
        <w:rPr>
          <w:rFonts w:ascii="Bookman Old Style" w:hAnsi="Bookman Old Style"/>
        </w:rPr>
        <w:t>, como:</w:t>
      </w:r>
    </w:p>
    <w:p w14:paraId="186D5393" w14:textId="77777777" w:rsidR="008A7D38" w:rsidRPr="003F19C2" w:rsidRDefault="008A7D38" w:rsidP="008A7D38">
      <w:pPr>
        <w:pStyle w:val="Default"/>
        <w:jc w:val="both"/>
        <w:rPr>
          <w:rFonts w:ascii="Bookman Old Style" w:hAnsi="Bookman Old Style"/>
        </w:rPr>
      </w:pPr>
    </w:p>
    <w:p w14:paraId="352BF4B0" w14:textId="77777777" w:rsidR="008A7D38" w:rsidRPr="003F19C2" w:rsidRDefault="008A7D38" w:rsidP="009A1CBB">
      <w:pPr>
        <w:pStyle w:val="Default"/>
        <w:numPr>
          <w:ilvl w:val="0"/>
          <w:numId w:val="1"/>
        </w:numPr>
        <w:spacing w:after="240"/>
        <w:jc w:val="both"/>
        <w:rPr>
          <w:rFonts w:ascii="Bookman Old Style" w:hAnsi="Bookman Old Style"/>
        </w:rPr>
      </w:pPr>
      <w:r w:rsidRPr="003F19C2">
        <w:rPr>
          <w:rFonts w:ascii="Bookman Old Style" w:hAnsi="Bookman Old Style"/>
        </w:rPr>
        <w:t xml:space="preserve">La </w:t>
      </w:r>
      <w:r w:rsidRPr="003F19C2">
        <w:rPr>
          <w:rFonts w:ascii="Bookman Old Style" w:hAnsi="Bookman Old Style"/>
          <w:b/>
          <w:bCs/>
        </w:rPr>
        <w:t>declaración de urgencia para proyectos hibridados</w:t>
      </w:r>
      <w:r w:rsidRPr="003F19C2">
        <w:rPr>
          <w:rFonts w:ascii="Bookman Old Style" w:hAnsi="Bookman Old Style"/>
        </w:rPr>
        <w:t xml:space="preserve"> (art. 6).</w:t>
      </w:r>
    </w:p>
    <w:p w14:paraId="7256C5F2" w14:textId="77777777" w:rsidR="008A7D38" w:rsidRPr="003F19C2" w:rsidRDefault="008A7D38" w:rsidP="009A1CBB">
      <w:pPr>
        <w:pStyle w:val="Default"/>
        <w:numPr>
          <w:ilvl w:val="0"/>
          <w:numId w:val="1"/>
        </w:numPr>
        <w:spacing w:after="240"/>
        <w:jc w:val="both"/>
        <w:rPr>
          <w:rFonts w:ascii="Bookman Old Style" w:hAnsi="Bookman Old Style"/>
        </w:rPr>
      </w:pPr>
      <w:r w:rsidRPr="003F19C2">
        <w:rPr>
          <w:rFonts w:ascii="Bookman Old Style" w:hAnsi="Bookman Old Style"/>
        </w:rPr>
        <w:t xml:space="preserve">El </w:t>
      </w:r>
      <w:r w:rsidRPr="003F19C2">
        <w:rPr>
          <w:rFonts w:ascii="Bookman Old Style" w:hAnsi="Bookman Old Style"/>
          <w:b/>
          <w:bCs/>
        </w:rPr>
        <w:t>modelo tipo para I+D+i sin control ambiental posterior efectivo</w:t>
      </w:r>
      <w:r w:rsidRPr="003F19C2">
        <w:rPr>
          <w:rFonts w:ascii="Bookman Old Style" w:hAnsi="Bookman Old Style"/>
        </w:rPr>
        <w:t xml:space="preserve"> (art. 9).</w:t>
      </w:r>
    </w:p>
    <w:p w14:paraId="05F4D618" w14:textId="77777777" w:rsidR="008A7D38" w:rsidRPr="003F19C2" w:rsidRDefault="008A7D38" w:rsidP="009A1CBB">
      <w:pPr>
        <w:pStyle w:val="Default"/>
        <w:numPr>
          <w:ilvl w:val="0"/>
          <w:numId w:val="1"/>
        </w:numPr>
        <w:spacing w:after="240"/>
        <w:jc w:val="both"/>
        <w:rPr>
          <w:rFonts w:ascii="Bookman Old Style" w:hAnsi="Bookman Old Style"/>
        </w:rPr>
      </w:pPr>
      <w:r w:rsidRPr="003F19C2">
        <w:rPr>
          <w:rFonts w:ascii="Bookman Old Style" w:hAnsi="Bookman Old Style"/>
        </w:rPr>
        <w:t xml:space="preserve">La </w:t>
      </w:r>
      <w:r w:rsidRPr="003F19C2">
        <w:rPr>
          <w:rFonts w:ascii="Bookman Old Style" w:hAnsi="Bookman Old Style"/>
          <w:b/>
          <w:bCs/>
        </w:rPr>
        <w:t>ampliación injustificada del plazo de permisos para eólica marina o hidráulica de bombeo</w:t>
      </w:r>
      <w:r w:rsidRPr="003F19C2">
        <w:rPr>
          <w:rFonts w:ascii="Bookman Old Style" w:hAnsi="Bookman Old Style"/>
        </w:rPr>
        <w:t xml:space="preserve"> (art. 10).</w:t>
      </w:r>
    </w:p>
    <w:p w14:paraId="1CC60FE4" w14:textId="77777777" w:rsidR="008A7D38" w:rsidRPr="003F19C2" w:rsidRDefault="008A7D38" w:rsidP="009A1CBB">
      <w:pPr>
        <w:pStyle w:val="Default"/>
        <w:numPr>
          <w:ilvl w:val="0"/>
          <w:numId w:val="1"/>
        </w:numPr>
        <w:spacing w:after="240"/>
        <w:jc w:val="both"/>
        <w:rPr>
          <w:rFonts w:ascii="Bookman Old Style" w:hAnsi="Bookman Old Style"/>
        </w:rPr>
      </w:pPr>
      <w:r w:rsidRPr="003F19C2">
        <w:rPr>
          <w:rFonts w:ascii="Bookman Old Style" w:hAnsi="Bookman Old Style"/>
        </w:rPr>
        <w:t xml:space="preserve">Y, especialmente grave, </w:t>
      </w:r>
      <w:r w:rsidRPr="003F19C2">
        <w:rPr>
          <w:rFonts w:ascii="Bookman Old Style" w:hAnsi="Bookman Old Style"/>
          <w:b/>
          <w:bCs/>
        </w:rPr>
        <w:t xml:space="preserve">la exención del trámite de evaluación ambiental simplificada para instalaciones de almacenamiento en terrenos previamente </w:t>
      </w:r>
      <w:proofErr w:type="spellStart"/>
      <w:r w:rsidRPr="003F19C2">
        <w:rPr>
          <w:rFonts w:ascii="Bookman Old Style" w:hAnsi="Bookman Old Style"/>
          <w:b/>
          <w:bCs/>
        </w:rPr>
        <w:t>antropizados</w:t>
      </w:r>
      <w:proofErr w:type="spellEnd"/>
      <w:r w:rsidRPr="003F19C2">
        <w:rPr>
          <w:rFonts w:ascii="Bookman Old Style" w:hAnsi="Bookman Old Style"/>
        </w:rPr>
        <w:t>, contenida en la Disposición Final Segunda.</w:t>
      </w:r>
    </w:p>
    <w:p w14:paraId="755C6801" w14:textId="77777777" w:rsidR="008A7D38" w:rsidRDefault="008A7D38" w:rsidP="008A7D38">
      <w:pPr>
        <w:pStyle w:val="Default"/>
        <w:rPr>
          <w:rFonts w:ascii="Bookman Old Style" w:hAnsi="Bookman Old Style"/>
        </w:rPr>
      </w:pPr>
    </w:p>
    <w:p w14:paraId="750EE7D2" w14:textId="77777777" w:rsidR="008A7D38" w:rsidRDefault="008A7D38" w:rsidP="00BD67EC">
      <w:pPr>
        <w:pStyle w:val="Default"/>
        <w:jc w:val="both"/>
        <w:rPr>
          <w:rFonts w:ascii="Bookman Old Style" w:hAnsi="Bookman Old Style"/>
        </w:rPr>
      </w:pPr>
      <w:r w:rsidRPr="003F19C2">
        <w:rPr>
          <w:rFonts w:ascii="Bookman Old Style" w:hAnsi="Bookman Old Style"/>
        </w:rPr>
        <w:t xml:space="preserve">Estas medidas suponen una </w:t>
      </w:r>
      <w:r w:rsidRPr="003F19C2">
        <w:rPr>
          <w:rFonts w:ascii="Bookman Old Style" w:hAnsi="Bookman Old Style"/>
          <w:b/>
          <w:bCs/>
        </w:rPr>
        <w:t>reintroducción encubierta</w:t>
      </w:r>
      <w:r w:rsidRPr="003F19C2">
        <w:rPr>
          <w:rFonts w:ascii="Bookman Old Style" w:hAnsi="Bookman Old Style"/>
        </w:rPr>
        <w:t xml:space="preserve"> de contenidos ya rechazados por el Parlamento y deben considerarse, en consecuencia, </w:t>
      </w:r>
      <w:r w:rsidRPr="003F19C2">
        <w:rPr>
          <w:rFonts w:ascii="Bookman Old Style" w:hAnsi="Bookman Old Style"/>
          <w:b/>
          <w:bCs/>
        </w:rPr>
        <w:t>ilegítimas, contrarias a la voluntad legislativa y a los principios de buena regulación</w:t>
      </w:r>
      <w:r w:rsidRPr="003F19C2">
        <w:rPr>
          <w:rFonts w:ascii="Bookman Old Style" w:hAnsi="Bookman Old Style"/>
        </w:rPr>
        <w:t xml:space="preserve"> del artículo 129 de la Ley 39/2015</w:t>
      </w:r>
      <w:r>
        <w:rPr>
          <w:rFonts w:ascii="Bookman Old Style" w:hAnsi="Bookman Old Style"/>
        </w:rPr>
        <w:t xml:space="preserve">, </w:t>
      </w:r>
      <w:r w:rsidRPr="00746F55">
        <w:rPr>
          <w:rFonts w:ascii="Bookman Old Style" w:hAnsi="Bookman Old Style"/>
        </w:rPr>
        <w:t>vulnera</w:t>
      </w:r>
      <w:r>
        <w:rPr>
          <w:rFonts w:ascii="Bookman Old Style" w:hAnsi="Bookman Old Style"/>
        </w:rPr>
        <w:t>ndo</w:t>
      </w:r>
      <w:r w:rsidRPr="00746F55">
        <w:rPr>
          <w:rFonts w:ascii="Bookman Old Style" w:hAnsi="Bookman Old Style"/>
        </w:rPr>
        <w:t xml:space="preserve"> el principio de legalidad, la función de control del Poder Legislativo y los límites materiales de la potestad reglamentaria establecidos en el artículo 97 de la Constitución.</w:t>
      </w:r>
    </w:p>
    <w:p w14:paraId="598FB9BF" w14:textId="77777777" w:rsidR="00BD67EC" w:rsidRDefault="00BD67EC" w:rsidP="00BD67EC">
      <w:pPr>
        <w:pStyle w:val="Default"/>
        <w:jc w:val="both"/>
        <w:rPr>
          <w:rFonts w:ascii="Bookman Old Style" w:hAnsi="Bookman Old Style"/>
        </w:rPr>
      </w:pPr>
    </w:p>
    <w:p w14:paraId="79D5C2E7" w14:textId="77777777" w:rsidR="00BD67EC" w:rsidRPr="00746F55" w:rsidRDefault="00BD67EC" w:rsidP="00BD67EC">
      <w:pPr>
        <w:pStyle w:val="Default"/>
        <w:jc w:val="both"/>
        <w:rPr>
          <w:rFonts w:ascii="Bookman Old Style" w:hAnsi="Bookman Old Style"/>
        </w:rPr>
      </w:pPr>
    </w:p>
    <w:p w14:paraId="531F8F82" w14:textId="6715E7AC" w:rsidR="008A7D38" w:rsidRDefault="008A7D38" w:rsidP="00BD67EC">
      <w:pPr>
        <w:pStyle w:val="Default"/>
        <w:numPr>
          <w:ilvl w:val="0"/>
          <w:numId w:val="3"/>
        </w:numPr>
        <w:tabs>
          <w:tab w:val="left" w:pos="567"/>
        </w:tabs>
        <w:spacing w:after="240"/>
        <w:ind w:left="567" w:hanging="567"/>
        <w:jc w:val="both"/>
        <w:rPr>
          <w:rFonts w:ascii="Bookman Old Style" w:hAnsi="Bookman Old Style"/>
          <w:b/>
          <w:bCs/>
        </w:rPr>
      </w:pPr>
      <w:r w:rsidRPr="00746F55">
        <w:rPr>
          <w:rFonts w:ascii="Bookman Old Style" w:hAnsi="Bookman Old Style"/>
          <w:b/>
          <w:bCs/>
        </w:rPr>
        <w:t>SOLICITUD DE SUSPENSIÓN DEL PROCEDIMIENTO POR DERECHO A LA DESCONEXIÓN</w:t>
      </w:r>
    </w:p>
    <w:p w14:paraId="03286CF7" w14:textId="18A3150D" w:rsidR="008A7D38" w:rsidRDefault="008A7D38" w:rsidP="00BD67EC">
      <w:pPr>
        <w:pStyle w:val="Default"/>
        <w:jc w:val="both"/>
        <w:rPr>
          <w:rFonts w:ascii="Bookman Old Style" w:hAnsi="Bookman Old Style"/>
        </w:rPr>
      </w:pPr>
      <w:r w:rsidRPr="00746F55">
        <w:rPr>
          <w:rFonts w:ascii="Bookman Old Style" w:hAnsi="Bookman Old Style"/>
        </w:rPr>
        <w:t>El periodo ordinario de alegaciones coincide con el mes de agosto, lo que impide, en la práctica, una participación pública efectiva de los profesionales, entidades y colectivos ciudadanos.</w:t>
      </w:r>
    </w:p>
    <w:p w14:paraId="40E8EF4F" w14:textId="77777777" w:rsidR="000D6107" w:rsidRDefault="000D6107" w:rsidP="00BD67EC">
      <w:pPr>
        <w:pStyle w:val="Default"/>
        <w:jc w:val="both"/>
        <w:rPr>
          <w:rFonts w:ascii="Bookman Old Style" w:hAnsi="Bookman Old Style"/>
        </w:rPr>
      </w:pPr>
    </w:p>
    <w:p w14:paraId="433190A7" w14:textId="77777777" w:rsidR="008A7D38" w:rsidRPr="00746F55" w:rsidRDefault="008A7D38" w:rsidP="00BD67EC">
      <w:pPr>
        <w:pStyle w:val="Default"/>
        <w:jc w:val="both"/>
        <w:rPr>
          <w:rFonts w:ascii="Bookman Old Style" w:hAnsi="Bookman Old Style"/>
        </w:rPr>
      </w:pPr>
      <w:r w:rsidRPr="00746F55">
        <w:rPr>
          <w:rFonts w:ascii="Bookman Old Style" w:hAnsi="Bookman Old Style"/>
        </w:rPr>
        <w:t xml:space="preserve">En este sentido, se solicita formalmente la </w:t>
      </w:r>
      <w:r w:rsidRPr="00746F55">
        <w:rPr>
          <w:rFonts w:ascii="Bookman Old Style" w:hAnsi="Bookman Old Style"/>
          <w:b/>
          <w:bCs/>
        </w:rPr>
        <w:t>SUSPENSIÓN DEL TRÁMITE DE INFORMACIÓN PÚBLICA HASTA EL DÍA 15 DE SEPTIEMBRE DE 2025</w:t>
      </w:r>
      <w:r w:rsidRPr="00746F55">
        <w:rPr>
          <w:rFonts w:ascii="Bookman Old Style" w:hAnsi="Bookman Old Style"/>
        </w:rPr>
        <w:t xml:space="preserve">, conforme al </w:t>
      </w:r>
      <w:r w:rsidRPr="00746F55">
        <w:rPr>
          <w:rFonts w:ascii="Bookman Old Style" w:hAnsi="Bookman Old Style"/>
          <w:b/>
          <w:bCs/>
        </w:rPr>
        <w:t>principio de derecho a la desconexión</w:t>
      </w:r>
      <w:r w:rsidRPr="00746F55">
        <w:rPr>
          <w:rFonts w:ascii="Bookman Old Style" w:hAnsi="Bookman Old Style"/>
        </w:rPr>
        <w:t xml:space="preserve"> reconocido en el artículo 88 de la Ley Orgánica 3/2018, de 5 de diciembre, y en aplicación de los principios de buena regulación establecidos en el artículo 129 de la Ley 39/2015.</w:t>
      </w:r>
    </w:p>
    <w:p w14:paraId="5F87372D" w14:textId="77777777" w:rsidR="008A7D38" w:rsidRDefault="008A7D38" w:rsidP="008A7D38">
      <w:pPr>
        <w:pStyle w:val="Default"/>
        <w:jc w:val="both"/>
        <w:rPr>
          <w:rFonts w:ascii="Bookman Old Style" w:hAnsi="Bookman Old Style"/>
          <w:b/>
          <w:bCs/>
        </w:rPr>
      </w:pPr>
    </w:p>
    <w:p w14:paraId="615C9163" w14:textId="77777777" w:rsidR="008A7D38" w:rsidRDefault="008A7D38" w:rsidP="008A7D38">
      <w:pPr>
        <w:pStyle w:val="Default"/>
        <w:jc w:val="both"/>
        <w:rPr>
          <w:rFonts w:ascii="Bookman Old Style" w:hAnsi="Bookman Old Style"/>
          <w:b/>
          <w:bCs/>
        </w:rPr>
      </w:pPr>
    </w:p>
    <w:p w14:paraId="37426D37" w14:textId="77777777" w:rsidR="008A7D38" w:rsidRPr="00746F55" w:rsidRDefault="008A7D38" w:rsidP="00BD67EC">
      <w:pPr>
        <w:pStyle w:val="Default"/>
        <w:jc w:val="both"/>
        <w:rPr>
          <w:rFonts w:ascii="Bookman Old Style" w:hAnsi="Bookman Old Style"/>
        </w:rPr>
      </w:pPr>
      <w:r w:rsidRPr="00746F55">
        <w:rPr>
          <w:rFonts w:ascii="Bookman Old Style" w:hAnsi="Bookman Old Style"/>
        </w:rPr>
        <w:t>Por todo lo anteriormente expuesto,</w:t>
      </w:r>
    </w:p>
    <w:p w14:paraId="0A64A030" w14:textId="77777777" w:rsidR="008A7D38" w:rsidRDefault="008A7D38" w:rsidP="008A7D38">
      <w:pPr>
        <w:pStyle w:val="Default"/>
        <w:jc w:val="both"/>
        <w:rPr>
          <w:rFonts w:ascii="Bookman Old Style" w:hAnsi="Bookman Old Style"/>
          <w:b/>
          <w:bCs/>
        </w:rPr>
      </w:pPr>
    </w:p>
    <w:p w14:paraId="267BDA44" w14:textId="77777777" w:rsidR="008A7D38" w:rsidRDefault="008A7D38" w:rsidP="000D6107">
      <w:pPr>
        <w:pStyle w:val="Default"/>
        <w:ind w:firstLine="360"/>
        <w:jc w:val="both"/>
        <w:rPr>
          <w:rFonts w:ascii="Bookman Old Style" w:hAnsi="Bookman Old Style"/>
          <w:b/>
          <w:bCs/>
        </w:rPr>
      </w:pPr>
      <w:r w:rsidRPr="00746F55">
        <w:rPr>
          <w:rFonts w:ascii="Bookman Old Style" w:hAnsi="Bookman Old Style"/>
          <w:b/>
          <w:bCs/>
        </w:rPr>
        <w:lastRenderedPageBreak/>
        <w:t>SOLICIT</w:t>
      </w:r>
      <w:r>
        <w:rPr>
          <w:rFonts w:ascii="Bookman Old Style" w:hAnsi="Bookman Old Style"/>
          <w:b/>
          <w:bCs/>
        </w:rPr>
        <w:t>O A LA SECRETARÍA GENERAL DEL MITECO:</w:t>
      </w:r>
    </w:p>
    <w:p w14:paraId="78712A55" w14:textId="77777777" w:rsidR="008A7D38" w:rsidRPr="00746F55" w:rsidRDefault="008A7D38" w:rsidP="008A7D38">
      <w:pPr>
        <w:pStyle w:val="Default"/>
        <w:jc w:val="both"/>
        <w:rPr>
          <w:rFonts w:ascii="Bookman Old Style" w:hAnsi="Bookman Old Style"/>
        </w:rPr>
      </w:pPr>
    </w:p>
    <w:p w14:paraId="2871F199" w14:textId="77777777" w:rsidR="00F13317" w:rsidRPr="00612B0D" w:rsidRDefault="00F13317" w:rsidP="00BD67EC">
      <w:pPr>
        <w:pStyle w:val="Default"/>
        <w:numPr>
          <w:ilvl w:val="0"/>
          <w:numId w:val="2"/>
        </w:numPr>
        <w:tabs>
          <w:tab w:val="clear" w:pos="720"/>
        </w:tabs>
        <w:spacing w:after="240"/>
        <w:ind w:left="709" w:hanging="219"/>
        <w:jc w:val="both"/>
        <w:rPr>
          <w:rFonts w:ascii="Bookman Old Style" w:hAnsi="Bookman Old Style"/>
        </w:rPr>
      </w:pPr>
      <w:r w:rsidRPr="00612B0D">
        <w:rPr>
          <w:rFonts w:ascii="Bookman Old Style" w:hAnsi="Bookman Old Style"/>
        </w:rPr>
        <w:t>Que se admita este escrito como alegaciones válidas dentro del procedimiento “Al</w:t>
      </w:r>
      <w:r>
        <w:rPr>
          <w:rFonts w:ascii="Bookman Old Style" w:hAnsi="Bookman Old Style"/>
        </w:rPr>
        <w:t>egaciones PRD Medidas Urgentes”.</w:t>
      </w:r>
    </w:p>
    <w:p w14:paraId="364E31A8" w14:textId="77777777" w:rsidR="005E7420" w:rsidRPr="003F0E7C" w:rsidRDefault="00F13317" w:rsidP="00BD67EC">
      <w:pPr>
        <w:pStyle w:val="Default"/>
        <w:numPr>
          <w:ilvl w:val="0"/>
          <w:numId w:val="2"/>
        </w:numPr>
        <w:spacing w:after="240"/>
        <w:ind w:left="709" w:hanging="219"/>
        <w:jc w:val="both"/>
        <w:rPr>
          <w:rFonts w:ascii="Bookman Old Style" w:hAnsi="Bookman Old Style"/>
        </w:rPr>
      </w:pPr>
      <w:r w:rsidRPr="00612B0D">
        <w:rPr>
          <w:rFonts w:ascii="Bookman Old Style" w:hAnsi="Bookman Old Style"/>
        </w:rPr>
        <w:t xml:space="preserve">Que </w:t>
      </w:r>
      <w:r w:rsidRPr="00F13317">
        <w:rPr>
          <w:rFonts w:ascii="Bookman Old Style" w:hAnsi="Bookman Old Style"/>
          <w:b/>
        </w:rPr>
        <w:t>las alegaciones sean valoradas y respondidas públicamente</w:t>
      </w:r>
      <w:r w:rsidRPr="00612B0D">
        <w:rPr>
          <w:rFonts w:ascii="Bookman Old Style" w:hAnsi="Bookman Old Style"/>
        </w:rPr>
        <w:t xml:space="preserve"> en la versión final del Real Decreto</w:t>
      </w:r>
      <w:r>
        <w:rPr>
          <w:rFonts w:ascii="Bookman Old Style" w:hAnsi="Bookman Old Style"/>
        </w:rPr>
        <w:t>.</w:t>
      </w:r>
    </w:p>
    <w:p w14:paraId="70D3C0E9" w14:textId="77777777" w:rsidR="008A7D38" w:rsidRPr="00746F55" w:rsidRDefault="008A7D38" w:rsidP="00BD67EC">
      <w:pPr>
        <w:pStyle w:val="Default"/>
        <w:numPr>
          <w:ilvl w:val="0"/>
          <w:numId w:val="2"/>
        </w:numPr>
        <w:spacing w:after="240"/>
        <w:ind w:left="709" w:hanging="219"/>
        <w:jc w:val="both"/>
        <w:rPr>
          <w:rFonts w:ascii="Bookman Old Style" w:hAnsi="Bookman Old Style"/>
        </w:rPr>
      </w:pPr>
      <w:r w:rsidRPr="00746F55">
        <w:rPr>
          <w:rFonts w:ascii="Bookman Old Style" w:hAnsi="Bookman Old Style"/>
        </w:rPr>
        <w:t xml:space="preserve">Que se acuerde la </w:t>
      </w:r>
      <w:r w:rsidRPr="00746F55">
        <w:rPr>
          <w:rFonts w:ascii="Bookman Old Style" w:hAnsi="Bookman Old Style"/>
          <w:b/>
          <w:bCs/>
        </w:rPr>
        <w:t>remisión inmediata del expediente completo</w:t>
      </w:r>
      <w:r w:rsidRPr="00746F55">
        <w:rPr>
          <w:rFonts w:ascii="Bookman Old Style" w:hAnsi="Bookman Old Style"/>
        </w:rPr>
        <w:t xml:space="preserve"> que ha dado lugar a este proyecto normativo</w:t>
      </w:r>
      <w:r>
        <w:rPr>
          <w:rFonts w:ascii="Bookman Old Style" w:hAnsi="Bookman Old Style"/>
        </w:rPr>
        <w:t>, además del relacionado con el RDL 7/2025</w:t>
      </w:r>
      <w:r w:rsidRPr="00746F55">
        <w:rPr>
          <w:rFonts w:ascii="Bookman Old Style" w:hAnsi="Bookman Old Style"/>
        </w:rPr>
        <w:t>.</w:t>
      </w:r>
    </w:p>
    <w:p w14:paraId="069CA468" w14:textId="77777777" w:rsidR="008A7D38" w:rsidRPr="00746F55" w:rsidRDefault="008A7D38" w:rsidP="00BD67EC">
      <w:pPr>
        <w:pStyle w:val="Default"/>
        <w:numPr>
          <w:ilvl w:val="0"/>
          <w:numId w:val="2"/>
        </w:numPr>
        <w:spacing w:after="240"/>
        <w:ind w:left="709" w:hanging="219"/>
        <w:jc w:val="both"/>
        <w:rPr>
          <w:rFonts w:ascii="Bookman Old Style" w:hAnsi="Bookman Old Style"/>
        </w:rPr>
      </w:pPr>
      <w:r w:rsidRPr="00746F55">
        <w:rPr>
          <w:rFonts w:ascii="Bookman Old Style" w:hAnsi="Bookman Old Style"/>
        </w:rPr>
        <w:t xml:space="preserve">Que se disponga la </w:t>
      </w:r>
      <w:r w:rsidRPr="00746F55">
        <w:rPr>
          <w:rFonts w:ascii="Bookman Old Style" w:hAnsi="Bookman Old Style"/>
          <w:b/>
          <w:bCs/>
        </w:rPr>
        <w:t>suspensión de los plazos</w:t>
      </w:r>
      <w:r w:rsidRPr="00746F55">
        <w:rPr>
          <w:rFonts w:ascii="Bookman Old Style" w:hAnsi="Bookman Old Style"/>
        </w:rPr>
        <w:t xml:space="preserve"> del trámite de información hasta el 15 de septiembre de 2025</w:t>
      </w:r>
      <w:r>
        <w:rPr>
          <w:rFonts w:ascii="Bookman Old Style" w:hAnsi="Bookman Old Style"/>
        </w:rPr>
        <w:t>,</w:t>
      </w:r>
      <w:r w:rsidRPr="00570364">
        <w:t xml:space="preserve"> </w:t>
      </w:r>
      <w:r w:rsidRPr="00570364">
        <w:rPr>
          <w:rFonts w:ascii="Bookman Old Style" w:hAnsi="Bookman Old Style"/>
        </w:rPr>
        <w:t>solicita</w:t>
      </w:r>
      <w:r>
        <w:rPr>
          <w:rFonts w:ascii="Bookman Old Style" w:hAnsi="Bookman Old Style"/>
        </w:rPr>
        <w:t xml:space="preserve">ndo </w:t>
      </w:r>
      <w:r w:rsidRPr="00570364">
        <w:rPr>
          <w:rFonts w:ascii="Bookman Old Style" w:hAnsi="Bookman Old Style"/>
        </w:rPr>
        <w:t>de forma subsidiaria que se proceda a la SUSPENSIÓN DE ENVÍO DE NOTIFICACIONES, PLAZOS Y EXPEDIENTES EN TRÁMITE.</w:t>
      </w:r>
    </w:p>
    <w:p w14:paraId="425BE3B3" w14:textId="77777777" w:rsidR="008A7D38" w:rsidRPr="00746F55" w:rsidRDefault="008A7D38" w:rsidP="00BD67EC">
      <w:pPr>
        <w:pStyle w:val="Default"/>
        <w:numPr>
          <w:ilvl w:val="0"/>
          <w:numId w:val="2"/>
        </w:numPr>
        <w:spacing w:after="240"/>
        <w:ind w:left="709" w:hanging="219"/>
        <w:jc w:val="both"/>
        <w:rPr>
          <w:rFonts w:ascii="Bookman Old Style" w:hAnsi="Bookman Old Style"/>
        </w:rPr>
      </w:pPr>
      <w:r w:rsidRPr="00746F55">
        <w:rPr>
          <w:rFonts w:ascii="Bookman Old Style" w:hAnsi="Bookman Old Style"/>
        </w:rPr>
        <w:t xml:space="preserve">Que se proceda a la </w:t>
      </w:r>
      <w:r w:rsidRPr="00746F55">
        <w:rPr>
          <w:rFonts w:ascii="Bookman Old Style" w:hAnsi="Bookman Old Style"/>
          <w:b/>
          <w:bCs/>
        </w:rPr>
        <w:t>reformulación integral</w:t>
      </w:r>
      <w:r w:rsidRPr="00746F55">
        <w:rPr>
          <w:rFonts w:ascii="Bookman Old Style" w:hAnsi="Bookman Old Style"/>
        </w:rPr>
        <w:t xml:space="preserve"> del Proyecto de Real Decreto, previa planificación territorial y sometimiento a control parlamentario.</w:t>
      </w:r>
    </w:p>
    <w:p w14:paraId="5A3B3386" w14:textId="77777777" w:rsidR="008A7D38" w:rsidRDefault="008A7D38" w:rsidP="00BD67EC">
      <w:pPr>
        <w:pStyle w:val="Default"/>
        <w:numPr>
          <w:ilvl w:val="0"/>
          <w:numId w:val="2"/>
        </w:numPr>
        <w:spacing w:after="240"/>
        <w:ind w:left="709" w:hanging="219"/>
        <w:jc w:val="both"/>
        <w:rPr>
          <w:rFonts w:ascii="Bookman Old Style" w:hAnsi="Bookman Old Style"/>
        </w:rPr>
      </w:pPr>
      <w:r w:rsidRPr="00746F55">
        <w:rPr>
          <w:rFonts w:ascii="Bookman Old Style" w:hAnsi="Bookman Old Style"/>
        </w:rPr>
        <w:t>Que se garantice la participación ciudadana real y se desista de la tramitación urgente en ausencia de razones técnicas objetivas que lo justifiquen.</w:t>
      </w:r>
    </w:p>
    <w:p w14:paraId="2C34924B" w14:textId="77777777" w:rsidR="008A7D38" w:rsidRDefault="008A7D38" w:rsidP="00BD67EC">
      <w:pPr>
        <w:pStyle w:val="Default"/>
        <w:numPr>
          <w:ilvl w:val="0"/>
          <w:numId w:val="2"/>
        </w:numPr>
        <w:spacing w:after="240"/>
        <w:ind w:left="709" w:hanging="219"/>
        <w:jc w:val="both"/>
        <w:rPr>
          <w:rFonts w:ascii="Bookman Old Style" w:hAnsi="Bookman Old Style"/>
        </w:rPr>
      </w:pPr>
      <w:r w:rsidRPr="00570364">
        <w:rPr>
          <w:rFonts w:ascii="Bookman Old Style" w:hAnsi="Bookman Old Style"/>
        </w:rPr>
        <w:t xml:space="preserve">Que se habilite un </w:t>
      </w:r>
      <w:r w:rsidRPr="00570364">
        <w:rPr>
          <w:rFonts w:ascii="Bookman Old Style" w:hAnsi="Bookman Old Style"/>
          <w:b/>
          <w:bCs/>
        </w:rPr>
        <w:t>nuevo plazo adicional de alegaciones</w:t>
      </w:r>
      <w:r w:rsidRPr="00570364">
        <w:rPr>
          <w:rFonts w:ascii="Bookman Old Style" w:hAnsi="Bookman Old Style"/>
        </w:rPr>
        <w:t xml:space="preserve"> para que el compareciente pueda formular, en su caso, una </w:t>
      </w:r>
      <w:r w:rsidRPr="00570364">
        <w:rPr>
          <w:rFonts w:ascii="Bookman Old Style" w:hAnsi="Bookman Old Style"/>
          <w:b/>
          <w:bCs/>
        </w:rPr>
        <w:t>adenda complementaria</w:t>
      </w:r>
      <w:r w:rsidRPr="00570364">
        <w:rPr>
          <w:rFonts w:ascii="Bookman Old Style" w:hAnsi="Bookman Old Style"/>
        </w:rPr>
        <w:t>, una vez le haya sido facilitado el expediente completo que dio lugar al presente proyecto, a fin de ejercitar con plenitud su derecho de participación, defensa y proposición.</w:t>
      </w:r>
    </w:p>
    <w:p w14:paraId="77DD0F53" w14:textId="77777777" w:rsidR="008A7D38" w:rsidRDefault="006225A6" w:rsidP="00BD67EC">
      <w:pPr>
        <w:pStyle w:val="Default"/>
        <w:numPr>
          <w:ilvl w:val="0"/>
          <w:numId w:val="2"/>
        </w:numPr>
        <w:spacing w:after="240"/>
        <w:ind w:left="709" w:hanging="219"/>
        <w:jc w:val="both"/>
        <w:rPr>
          <w:rFonts w:ascii="Bookman Old Style" w:hAnsi="Bookman Old Style"/>
        </w:rPr>
      </w:pPr>
      <w:r w:rsidRPr="006225A6">
        <w:rPr>
          <w:rFonts w:ascii="Bookman Old Style" w:hAnsi="Bookman Old Style"/>
        </w:rPr>
        <w:t>La paralización inmediata de todos los proyectos que impliquen expropiaciones injustificadas sobre suelos agrícolas productivos.</w:t>
      </w:r>
    </w:p>
    <w:p w14:paraId="76A1D950" w14:textId="77777777" w:rsidR="006225A6" w:rsidRPr="006225A6" w:rsidRDefault="006225A6" w:rsidP="006225A6">
      <w:pPr>
        <w:pStyle w:val="Default"/>
        <w:ind w:left="720"/>
        <w:jc w:val="both"/>
        <w:rPr>
          <w:rFonts w:ascii="Bookman Old Style" w:hAnsi="Bookman Old Style"/>
        </w:rPr>
      </w:pPr>
    </w:p>
    <w:p w14:paraId="3A1ABD23" w14:textId="77777777" w:rsidR="008A7D38" w:rsidRPr="00746F55" w:rsidRDefault="008A7D38" w:rsidP="008A7D38">
      <w:pPr>
        <w:pStyle w:val="Default"/>
        <w:jc w:val="both"/>
        <w:rPr>
          <w:rFonts w:ascii="Bookman Old Style" w:hAnsi="Bookman Old Style"/>
        </w:rPr>
      </w:pPr>
      <w:r w:rsidRPr="00746F55">
        <w:rPr>
          <w:rFonts w:ascii="Bookman Old Style" w:hAnsi="Bookman Old Style"/>
        </w:rPr>
        <w:t xml:space="preserve">En </w:t>
      </w:r>
      <w:r w:rsidRPr="004C2BAA">
        <w:rPr>
          <w:rFonts w:ascii="Bookman Old Style" w:hAnsi="Bookman Old Style"/>
        </w:rPr>
        <w:t xml:space="preserve">                                                  </w:t>
      </w:r>
      <w:proofErr w:type="gramStart"/>
      <w:r w:rsidRPr="004C2BAA">
        <w:rPr>
          <w:rFonts w:ascii="Bookman Old Style" w:hAnsi="Bookman Old Style"/>
        </w:rPr>
        <w:t xml:space="preserve">  </w:t>
      </w:r>
      <w:r w:rsidRPr="00746F55">
        <w:rPr>
          <w:rFonts w:ascii="Bookman Old Style" w:hAnsi="Bookman Old Style"/>
        </w:rPr>
        <w:t>,</w:t>
      </w:r>
      <w:proofErr w:type="gramEnd"/>
      <w:r w:rsidRPr="00746F55">
        <w:rPr>
          <w:rFonts w:ascii="Bookman Old Style" w:hAnsi="Bookman Old Style"/>
        </w:rPr>
        <w:t xml:space="preserve"> a </w:t>
      </w:r>
      <w:r w:rsidRPr="004C2BAA">
        <w:rPr>
          <w:rFonts w:ascii="Bookman Old Style" w:hAnsi="Bookman Old Style"/>
        </w:rPr>
        <w:t xml:space="preserve">                  de agosto de 2025</w:t>
      </w:r>
      <w:r w:rsidRPr="00746F55">
        <w:rPr>
          <w:rFonts w:ascii="Bookman Old Style" w:hAnsi="Bookman Old Style"/>
        </w:rPr>
        <w:t>.</w:t>
      </w:r>
    </w:p>
    <w:p w14:paraId="2ED6B0EC" w14:textId="77777777" w:rsidR="008A7D38" w:rsidRPr="004C2BAA" w:rsidRDefault="008A7D38" w:rsidP="008A7D38">
      <w:pPr>
        <w:pStyle w:val="Default"/>
        <w:jc w:val="both"/>
        <w:rPr>
          <w:rFonts w:ascii="Bookman Old Style" w:hAnsi="Bookman Old Style"/>
        </w:rPr>
      </w:pPr>
    </w:p>
    <w:p w14:paraId="7D4E12F7" w14:textId="77777777" w:rsidR="008A7D38" w:rsidRPr="004C2BAA" w:rsidRDefault="008A7D38" w:rsidP="008A7D38">
      <w:pPr>
        <w:pStyle w:val="Default"/>
        <w:jc w:val="both"/>
        <w:rPr>
          <w:rFonts w:ascii="Bookman Old Style" w:hAnsi="Bookman Old Style"/>
        </w:rPr>
      </w:pPr>
    </w:p>
    <w:p w14:paraId="373A87A4" w14:textId="77777777" w:rsidR="008A7D38" w:rsidRPr="004C2BAA" w:rsidRDefault="008A7D38" w:rsidP="008A7D38">
      <w:pPr>
        <w:pStyle w:val="Default"/>
        <w:jc w:val="both"/>
        <w:rPr>
          <w:rFonts w:ascii="Bookman Old Style" w:hAnsi="Bookman Old Style"/>
        </w:rPr>
      </w:pPr>
    </w:p>
    <w:p w14:paraId="5B72666F" w14:textId="77777777" w:rsidR="008A7D38" w:rsidRPr="004C2BAA" w:rsidRDefault="008A7D38" w:rsidP="008A7D38">
      <w:pPr>
        <w:pStyle w:val="Default"/>
        <w:jc w:val="both"/>
        <w:rPr>
          <w:rFonts w:ascii="Bookman Old Style" w:hAnsi="Bookman Old Style"/>
        </w:rPr>
      </w:pPr>
    </w:p>
    <w:p w14:paraId="4ED09195" w14:textId="77777777" w:rsidR="008A7D38" w:rsidRPr="004C2BAA" w:rsidRDefault="008A7D38" w:rsidP="008A7D38">
      <w:pPr>
        <w:pStyle w:val="Default"/>
        <w:jc w:val="both"/>
        <w:rPr>
          <w:rFonts w:ascii="Bookman Old Style" w:hAnsi="Bookman Old Style"/>
        </w:rPr>
      </w:pPr>
    </w:p>
    <w:p w14:paraId="326DD221" w14:textId="688B66AB" w:rsidR="008A7D38" w:rsidRPr="00746F55" w:rsidRDefault="008A7D38" w:rsidP="008A7D38">
      <w:pPr>
        <w:pStyle w:val="Default"/>
        <w:jc w:val="both"/>
      </w:pPr>
      <w:r w:rsidRPr="00746F55">
        <w:rPr>
          <w:rFonts w:ascii="Bookman Old Style" w:hAnsi="Bookman Old Style"/>
        </w:rPr>
        <w:t>Fdo.</w:t>
      </w:r>
    </w:p>
    <w:p w14:paraId="3A22FD07" w14:textId="77777777" w:rsidR="008A7D38" w:rsidRDefault="008A7D38" w:rsidP="008A7D38">
      <w:pPr>
        <w:pStyle w:val="Default"/>
        <w:jc w:val="both"/>
        <w:rPr>
          <w:sz w:val="22"/>
          <w:szCs w:val="22"/>
        </w:rPr>
      </w:pPr>
    </w:p>
    <w:p w14:paraId="6B51C27E" w14:textId="77777777" w:rsidR="008A7D38" w:rsidRDefault="008A7D38" w:rsidP="008A7D38">
      <w:pPr>
        <w:pStyle w:val="Default"/>
        <w:jc w:val="both"/>
        <w:rPr>
          <w:sz w:val="22"/>
          <w:szCs w:val="22"/>
        </w:rPr>
      </w:pPr>
    </w:p>
    <w:p w14:paraId="3A9F4A85" w14:textId="77777777" w:rsidR="008A7D38" w:rsidRDefault="008A7D38" w:rsidP="008A7D38">
      <w:pPr>
        <w:pStyle w:val="Default"/>
        <w:jc w:val="both"/>
        <w:rPr>
          <w:sz w:val="22"/>
          <w:szCs w:val="22"/>
        </w:rPr>
      </w:pPr>
    </w:p>
    <w:p w14:paraId="35EA23F2" w14:textId="77777777" w:rsidR="0055411F" w:rsidRDefault="0055411F"/>
    <w:sectPr w:rsidR="0055411F" w:rsidSect="00BD67E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Noto Color Emoji">
    <w:altName w:val="MS Gothic"/>
    <w:panose1 w:val="00000000000000000000"/>
    <w:charset w:val="80"/>
    <w:family w:val="swiss"/>
    <w:notTrueType/>
    <w:pitch w:val="default"/>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E06641"/>
    <w:multiLevelType w:val="multilevel"/>
    <w:tmpl w:val="4BEC1CFE"/>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E9C00BA"/>
    <w:multiLevelType w:val="multilevel"/>
    <w:tmpl w:val="2618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E03E94"/>
    <w:multiLevelType w:val="hybridMultilevel"/>
    <w:tmpl w:val="294A649E"/>
    <w:lvl w:ilvl="0" w:tplc="4EE8727A">
      <w:start w:val="1"/>
      <w:numFmt w:val="upperRoman"/>
      <w:lvlText w:val="%1."/>
      <w:lvlJc w:val="left"/>
      <w:pPr>
        <w:ind w:left="1080" w:hanging="72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72820575">
    <w:abstractNumId w:val="1"/>
  </w:num>
  <w:num w:numId="2" w16cid:durableId="764957101">
    <w:abstractNumId w:val="0"/>
  </w:num>
  <w:num w:numId="3" w16cid:durableId="16589154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D38"/>
    <w:rsid w:val="00006380"/>
    <w:rsid w:val="00057404"/>
    <w:rsid w:val="000D6107"/>
    <w:rsid w:val="000F553D"/>
    <w:rsid w:val="00177937"/>
    <w:rsid w:val="00257156"/>
    <w:rsid w:val="00264B38"/>
    <w:rsid w:val="003F0E7C"/>
    <w:rsid w:val="004B46A3"/>
    <w:rsid w:val="004C664B"/>
    <w:rsid w:val="005055DC"/>
    <w:rsid w:val="0055411F"/>
    <w:rsid w:val="005E7420"/>
    <w:rsid w:val="006225A6"/>
    <w:rsid w:val="00625507"/>
    <w:rsid w:val="00696312"/>
    <w:rsid w:val="00702E9D"/>
    <w:rsid w:val="0078675A"/>
    <w:rsid w:val="008902D8"/>
    <w:rsid w:val="008A7D38"/>
    <w:rsid w:val="009A1CBB"/>
    <w:rsid w:val="009B7040"/>
    <w:rsid w:val="00A019CE"/>
    <w:rsid w:val="00A5792B"/>
    <w:rsid w:val="00B97869"/>
    <w:rsid w:val="00BD531F"/>
    <w:rsid w:val="00BD67EC"/>
    <w:rsid w:val="00C32AE0"/>
    <w:rsid w:val="00C679E9"/>
    <w:rsid w:val="00CA6677"/>
    <w:rsid w:val="00D24993"/>
    <w:rsid w:val="00D64E94"/>
    <w:rsid w:val="00DA5008"/>
    <w:rsid w:val="00E12717"/>
    <w:rsid w:val="00E42764"/>
    <w:rsid w:val="00F13317"/>
    <w:rsid w:val="00FD07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A8466"/>
  <w15:chartTrackingRefBased/>
  <w15:docId w15:val="{BDCE260D-3362-4E81-954C-D46851202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D38"/>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A7D38"/>
    <w:pPr>
      <w:autoSpaceDE w:val="0"/>
      <w:autoSpaceDN w:val="0"/>
      <w:adjustRightInd w:val="0"/>
      <w:spacing w:after="0" w:line="240" w:lineRule="auto"/>
    </w:pPr>
    <w:rPr>
      <w:rFonts w:ascii="Cambria" w:eastAsia="Calibri" w:hAnsi="Cambria" w:cs="Cambria"/>
      <w:color w:val="000000"/>
      <w:sz w:val="24"/>
      <w:szCs w:val="24"/>
      <w:lang w:eastAsia="es-ES"/>
    </w:rPr>
  </w:style>
  <w:style w:type="character" w:styleId="Hyperlink">
    <w:name w:val="Hyperlink"/>
    <w:basedOn w:val="DefaultParagraphFont"/>
    <w:uiPriority w:val="99"/>
    <w:unhideWhenUsed/>
    <w:rsid w:val="00BD67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1844</Words>
  <Characters>10147</Characters>
  <Application>Microsoft Office Word</Application>
  <DocSecurity>0</DocSecurity>
  <Lines>84</Lines>
  <Paragraphs>23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dc:creator>
  <cp:keywords/>
  <dc:description/>
  <cp:lastModifiedBy>ROBERT WRIGLEY</cp:lastModifiedBy>
  <cp:revision>2</cp:revision>
  <dcterms:created xsi:type="dcterms:W3CDTF">2025-08-08T16:05:00Z</dcterms:created>
  <dcterms:modified xsi:type="dcterms:W3CDTF">2025-08-08T16:05:00Z</dcterms:modified>
</cp:coreProperties>
</file>